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B0" w:rsidRPr="004628CE" w:rsidRDefault="00573512" w:rsidP="0012645D">
      <w:pPr>
        <w:snapToGrid w:val="0"/>
        <w:spacing w:line="276" w:lineRule="auto"/>
        <w:jc w:val="center"/>
        <w:rPr>
          <w:rFonts w:eastAsia="標楷體"/>
          <w:b/>
        </w:rPr>
      </w:pPr>
      <w:bookmarkStart w:id="0" w:name="OLE_LINK1"/>
      <w:proofErr w:type="gramStart"/>
      <w:r w:rsidRPr="004628CE">
        <w:rPr>
          <w:rFonts w:eastAsia="標楷體"/>
          <w:sz w:val="32"/>
          <w:szCs w:val="32"/>
        </w:rPr>
        <w:t>10</w:t>
      </w:r>
      <w:r w:rsidR="002C6445" w:rsidRPr="004628CE">
        <w:rPr>
          <w:rFonts w:eastAsia="標楷體" w:hint="eastAsia"/>
          <w:sz w:val="32"/>
          <w:szCs w:val="32"/>
        </w:rPr>
        <w:t>4</w:t>
      </w:r>
      <w:proofErr w:type="gramEnd"/>
      <w:r w:rsidR="00BE17B0" w:rsidRPr="004628CE">
        <w:rPr>
          <w:rFonts w:eastAsia="標楷體"/>
          <w:sz w:val="32"/>
          <w:szCs w:val="32"/>
        </w:rPr>
        <w:t>年度人身保險業精算簽證作業補充說明</w:t>
      </w:r>
      <w:bookmarkEnd w:id="0"/>
      <w:r w:rsidR="00BE17B0" w:rsidRPr="004628CE">
        <w:rPr>
          <w:rFonts w:eastAsia="標楷體"/>
          <w:sz w:val="32"/>
          <w:szCs w:val="32"/>
        </w:rPr>
        <w:t>修正對照表</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20"/>
        <w:gridCol w:w="3720"/>
        <w:gridCol w:w="1774"/>
      </w:tblGrid>
      <w:tr w:rsidR="00C802B8" w:rsidRPr="004628CE" w:rsidTr="006A1052">
        <w:trPr>
          <w:trHeight w:val="410"/>
          <w:tblHeader/>
        </w:trPr>
        <w:tc>
          <w:tcPr>
            <w:tcW w:w="3720" w:type="dxa"/>
            <w:vAlign w:val="center"/>
          </w:tcPr>
          <w:p w:rsidR="00C802B8" w:rsidRPr="004628CE" w:rsidRDefault="00A55344" w:rsidP="00504F91">
            <w:pPr>
              <w:kinsoku w:val="0"/>
              <w:spacing w:line="276" w:lineRule="auto"/>
              <w:jc w:val="center"/>
              <w:rPr>
                <w:rFonts w:eastAsia="標楷體"/>
              </w:rPr>
            </w:pPr>
            <w:r w:rsidRPr="004628CE">
              <w:rPr>
                <w:rFonts w:eastAsia="標楷體" w:hint="eastAsia"/>
              </w:rPr>
              <w:t>10</w:t>
            </w:r>
            <w:r w:rsidR="002C6445" w:rsidRPr="004628CE">
              <w:rPr>
                <w:rFonts w:eastAsia="標楷體" w:hint="eastAsia"/>
              </w:rPr>
              <w:t>4</w:t>
            </w:r>
            <w:r w:rsidRPr="004628CE">
              <w:rPr>
                <w:rFonts w:eastAsia="標楷體" w:hint="eastAsia"/>
              </w:rPr>
              <w:t>年</w:t>
            </w:r>
            <w:r w:rsidR="00504F91" w:rsidRPr="004628CE">
              <w:rPr>
                <w:rFonts w:eastAsia="標楷體" w:hint="eastAsia"/>
              </w:rPr>
              <w:t>修正</w:t>
            </w:r>
            <w:r w:rsidR="00C802B8" w:rsidRPr="004628CE">
              <w:rPr>
                <w:rFonts w:eastAsia="標楷體"/>
              </w:rPr>
              <w:t>條文</w:t>
            </w:r>
          </w:p>
        </w:tc>
        <w:tc>
          <w:tcPr>
            <w:tcW w:w="3720" w:type="dxa"/>
            <w:vAlign w:val="center"/>
          </w:tcPr>
          <w:p w:rsidR="00C802B8" w:rsidRPr="004628CE" w:rsidRDefault="00D12B87" w:rsidP="00A04E93">
            <w:pPr>
              <w:kinsoku w:val="0"/>
              <w:spacing w:line="276" w:lineRule="auto"/>
              <w:jc w:val="center"/>
              <w:rPr>
                <w:rFonts w:eastAsia="標楷體"/>
              </w:rPr>
            </w:pPr>
            <w:r w:rsidRPr="004628CE">
              <w:rPr>
                <w:rFonts w:eastAsia="標楷體" w:hint="eastAsia"/>
              </w:rPr>
              <w:t>10</w:t>
            </w:r>
            <w:r w:rsidR="002C6445" w:rsidRPr="004628CE">
              <w:rPr>
                <w:rFonts w:eastAsia="標楷體" w:hint="eastAsia"/>
              </w:rPr>
              <w:t>3</w:t>
            </w:r>
            <w:r w:rsidRPr="004628CE">
              <w:rPr>
                <w:rFonts w:eastAsia="標楷體" w:hint="eastAsia"/>
              </w:rPr>
              <w:t>年現行</w:t>
            </w:r>
            <w:r w:rsidR="00C802B8" w:rsidRPr="004628CE">
              <w:rPr>
                <w:rFonts w:eastAsia="標楷體"/>
              </w:rPr>
              <w:t>條文</w:t>
            </w:r>
          </w:p>
        </w:tc>
        <w:tc>
          <w:tcPr>
            <w:tcW w:w="1774" w:type="dxa"/>
            <w:vAlign w:val="center"/>
          </w:tcPr>
          <w:p w:rsidR="00C802B8" w:rsidRPr="00A03692" w:rsidRDefault="00C802B8" w:rsidP="003308DC">
            <w:pPr>
              <w:widowControl/>
              <w:spacing w:line="276" w:lineRule="auto"/>
              <w:ind w:left="-24" w:rightChars="-25" w:right="-60"/>
              <w:jc w:val="center"/>
              <w:rPr>
                <w:rFonts w:eastAsia="標楷體"/>
              </w:rPr>
            </w:pPr>
            <w:r w:rsidRPr="00A03692">
              <w:rPr>
                <w:rFonts w:eastAsia="標楷體"/>
              </w:rPr>
              <w:t>說明</w:t>
            </w:r>
          </w:p>
        </w:tc>
      </w:tr>
      <w:tr w:rsidR="0004414C" w:rsidRPr="004628CE" w:rsidTr="006A1052">
        <w:trPr>
          <w:trHeight w:val="454"/>
        </w:trPr>
        <w:tc>
          <w:tcPr>
            <w:tcW w:w="3720" w:type="dxa"/>
            <w:vAlign w:val="center"/>
          </w:tcPr>
          <w:p w:rsidR="0012645D" w:rsidRPr="004628CE" w:rsidRDefault="0012645D" w:rsidP="00A04E93">
            <w:pPr>
              <w:spacing w:line="276" w:lineRule="auto"/>
              <w:ind w:leftChars="-16" w:left="-38"/>
              <w:jc w:val="both"/>
              <w:rPr>
                <w:rFonts w:eastAsia="標楷體"/>
              </w:rPr>
            </w:pPr>
            <w:r w:rsidRPr="004628CE">
              <w:rPr>
                <w:rFonts w:eastAsia="標楷體"/>
              </w:rPr>
              <w:t>第一章、總則</w:t>
            </w:r>
          </w:p>
        </w:tc>
        <w:tc>
          <w:tcPr>
            <w:tcW w:w="3720" w:type="dxa"/>
            <w:vAlign w:val="center"/>
          </w:tcPr>
          <w:p w:rsidR="0012645D" w:rsidRPr="004628CE" w:rsidRDefault="0012645D" w:rsidP="00A04E93">
            <w:pPr>
              <w:spacing w:line="276" w:lineRule="auto"/>
              <w:ind w:leftChars="-16" w:left="-38"/>
              <w:jc w:val="both"/>
              <w:rPr>
                <w:rFonts w:eastAsia="標楷體"/>
              </w:rPr>
            </w:pPr>
            <w:r w:rsidRPr="004628CE">
              <w:rPr>
                <w:rFonts w:eastAsia="標楷體"/>
              </w:rPr>
              <w:t>第一章、總則</w:t>
            </w:r>
          </w:p>
        </w:tc>
        <w:tc>
          <w:tcPr>
            <w:tcW w:w="1774" w:type="dxa"/>
            <w:vAlign w:val="center"/>
          </w:tcPr>
          <w:p w:rsidR="0012645D" w:rsidRPr="00A03692" w:rsidRDefault="0012645D" w:rsidP="003308DC">
            <w:pPr>
              <w:spacing w:line="276" w:lineRule="auto"/>
              <w:ind w:leftChars="-16" w:left="-38" w:rightChars="-25" w:right="-60"/>
              <w:jc w:val="both"/>
              <w:rPr>
                <w:rFonts w:eastAsia="標楷體"/>
              </w:rPr>
            </w:pPr>
          </w:p>
        </w:tc>
      </w:tr>
      <w:tr w:rsidR="0004414C" w:rsidRPr="004628CE" w:rsidTr="006A1052">
        <w:trPr>
          <w:trHeight w:val="454"/>
        </w:trPr>
        <w:tc>
          <w:tcPr>
            <w:tcW w:w="3720" w:type="dxa"/>
            <w:vAlign w:val="center"/>
          </w:tcPr>
          <w:p w:rsidR="0012645D" w:rsidRPr="004628CE" w:rsidRDefault="0012645D" w:rsidP="00A04E93">
            <w:pPr>
              <w:spacing w:line="276" w:lineRule="auto"/>
              <w:ind w:left="492" w:hangingChars="205" w:hanging="492"/>
              <w:jc w:val="both"/>
              <w:rPr>
                <w:rFonts w:eastAsia="標楷體"/>
              </w:rPr>
            </w:pPr>
            <w:r w:rsidRPr="004628CE">
              <w:rPr>
                <w:rFonts w:eastAsia="標楷體"/>
              </w:rPr>
              <w:t>一、本說明係配合保險法第</w:t>
            </w:r>
            <w:r w:rsidRPr="004628CE">
              <w:rPr>
                <w:rFonts w:eastAsia="標楷體"/>
              </w:rPr>
              <w:t>144</w:t>
            </w:r>
            <w:r w:rsidRPr="004628CE">
              <w:rPr>
                <w:rFonts w:eastAsia="標楷體"/>
              </w:rPr>
              <w:t>條及相關法令規定，補充說明簽證精算人員執行簽證工作時應遵循之事項，以及簽證報告內容與格式之要求，以作為主管機關審閱</w:t>
            </w:r>
            <w:proofErr w:type="gramStart"/>
            <w:r w:rsidR="00573512" w:rsidRPr="004628CE">
              <w:rPr>
                <w:rFonts w:eastAsia="標楷體"/>
                <w:u w:val="single"/>
              </w:rPr>
              <w:t>10</w:t>
            </w:r>
            <w:r w:rsidR="002C6445" w:rsidRPr="004628CE">
              <w:rPr>
                <w:rFonts w:eastAsia="標楷體" w:hint="eastAsia"/>
                <w:u w:val="single"/>
              </w:rPr>
              <w:t>4</w:t>
            </w:r>
            <w:proofErr w:type="gramEnd"/>
            <w:r w:rsidRPr="004628CE">
              <w:rPr>
                <w:rFonts w:eastAsia="標楷體"/>
              </w:rPr>
              <w:t>年度人身保險業精算簽證報告之重要依據。</w:t>
            </w:r>
          </w:p>
        </w:tc>
        <w:tc>
          <w:tcPr>
            <w:tcW w:w="3720" w:type="dxa"/>
          </w:tcPr>
          <w:p w:rsidR="0012645D" w:rsidRPr="004628CE" w:rsidRDefault="0012645D" w:rsidP="00A04E93">
            <w:pPr>
              <w:spacing w:line="276" w:lineRule="auto"/>
              <w:ind w:left="492" w:hangingChars="205" w:hanging="492"/>
              <w:jc w:val="both"/>
              <w:rPr>
                <w:rFonts w:eastAsia="標楷體"/>
              </w:rPr>
            </w:pPr>
            <w:r w:rsidRPr="004628CE">
              <w:rPr>
                <w:rFonts w:eastAsia="標楷體"/>
              </w:rPr>
              <w:t>一、本說明係配合保險法第</w:t>
            </w:r>
            <w:r w:rsidRPr="004628CE">
              <w:rPr>
                <w:rFonts w:eastAsia="標楷體"/>
              </w:rPr>
              <w:t>144</w:t>
            </w:r>
            <w:r w:rsidRPr="004628CE">
              <w:rPr>
                <w:rFonts w:eastAsia="標楷體"/>
              </w:rPr>
              <w:t>條及相關法令規定，補充說明簽證精算人員執</w:t>
            </w:r>
            <w:bookmarkStart w:id="1" w:name="_GoBack"/>
            <w:bookmarkEnd w:id="1"/>
            <w:r w:rsidRPr="004628CE">
              <w:rPr>
                <w:rFonts w:eastAsia="標楷體"/>
              </w:rPr>
              <w:t>行簽證工作時應遵循之事項，以及簽證報告內容與格式之要求，以作為主管機關審閱</w:t>
            </w:r>
            <w:proofErr w:type="gramStart"/>
            <w:r w:rsidR="00573512" w:rsidRPr="004628CE">
              <w:rPr>
                <w:rFonts w:eastAsia="標楷體"/>
                <w:u w:val="single"/>
              </w:rPr>
              <w:t>10</w:t>
            </w:r>
            <w:r w:rsidR="002C6445" w:rsidRPr="004628CE">
              <w:rPr>
                <w:rFonts w:eastAsia="標楷體" w:hint="eastAsia"/>
                <w:u w:val="single"/>
              </w:rPr>
              <w:t>3</w:t>
            </w:r>
            <w:proofErr w:type="gramEnd"/>
            <w:r w:rsidRPr="004628CE">
              <w:rPr>
                <w:rFonts w:eastAsia="標楷體"/>
              </w:rPr>
              <w:t>年度人身保險業精算簽證報告之重要依據。</w:t>
            </w:r>
          </w:p>
        </w:tc>
        <w:tc>
          <w:tcPr>
            <w:tcW w:w="1774" w:type="dxa"/>
          </w:tcPr>
          <w:p w:rsidR="0012645D" w:rsidRPr="00A03692" w:rsidRDefault="00A55344" w:rsidP="003308DC">
            <w:pPr>
              <w:spacing w:line="276" w:lineRule="auto"/>
              <w:ind w:leftChars="-16" w:left="-38" w:rightChars="-25" w:right="-60"/>
              <w:jc w:val="both"/>
              <w:rPr>
                <w:rFonts w:eastAsia="標楷體"/>
              </w:rPr>
            </w:pPr>
            <w:r w:rsidRPr="00A03692">
              <w:rPr>
                <w:rFonts w:eastAsia="標楷體" w:hAnsi="標楷體"/>
              </w:rPr>
              <w:t>年度變更</w:t>
            </w:r>
            <w:r w:rsidR="0012645D" w:rsidRPr="00A03692">
              <w:rPr>
                <w:rFonts w:eastAsia="標楷體"/>
              </w:rPr>
              <w:t>。</w:t>
            </w:r>
          </w:p>
        </w:tc>
      </w:tr>
      <w:tr w:rsidR="0012645D" w:rsidRPr="004628CE" w:rsidTr="006A1052">
        <w:trPr>
          <w:trHeight w:val="454"/>
        </w:trPr>
        <w:tc>
          <w:tcPr>
            <w:tcW w:w="3720" w:type="dxa"/>
            <w:vAlign w:val="center"/>
          </w:tcPr>
          <w:p w:rsidR="0012645D" w:rsidRPr="004628CE" w:rsidRDefault="0012645D" w:rsidP="00A04E93">
            <w:pPr>
              <w:spacing w:line="276" w:lineRule="auto"/>
              <w:ind w:leftChars="-16" w:left="-38"/>
              <w:jc w:val="both"/>
              <w:rPr>
                <w:rFonts w:eastAsia="標楷體"/>
              </w:rPr>
            </w:pPr>
            <w:r w:rsidRPr="004628CE">
              <w:rPr>
                <w:rFonts w:eastAsia="標楷體"/>
              </w:rPr>
              <w:t>第二章、資產面</w:t>
            </w:r>
          </w:p>
        </w:tc>
        <w:tc>
          <w:tcPr>
            <w:tcW w:w="3720" w:type="dxa"/>
            <w:vAlign w:val="center"/>
          </w:tcPr>
          <w:p w:rsidR="0012645D" w:rsidRPr="004628CE" w:rsidRDefault="0012645D" w:rsidP="00A04E93">
            <w:pPr>
              <w:spacing w:line="276" w:lineRule="auto"/>
              <w:ind w:leftChars="-16" w:left="-38"/>
              <w:jc w:val="both"/>
              <w:rPr>
                <w:rFonts w:eastAsia="標楷體"/>
              </w:rPr>
            </w:pPr>
            <w:r w:rsidRPr="004628CE">
              <w:rPr>
                <w:rFonts w:eastAsia="標楷體"/>
              </w:rPr>
              <w:t>第二章、資產面</w:t>
            </w:r>
          </w:p>
        </w:tc>
        <w:tc>
          <w:tcPr>
            <w:tcW w:w="1774" w:type="dxa"/>
            <w:vAlign w:val="center"/>
          </w:tcPr>
          <w:p w:rsidR="0012645D" w:rsidRPr="00A03692" w:rsidRDefault="0012645D" w:rsidP="003308DC">
            <w:pPr>
              <w:spacing w:line="276" w:lineRule="auto"/>
              <w:ind w:leftChars="-16" w:left="-38" w:rightChars="-25" w:right="-60"/>
              <w:jc w:val="both"/>
              <w:rPr>
                <w:rFonts w:eastAsia="標楷體"/>
              </w:rPr>
            </w:pPr>
          </w:p>
        </w:tc>
      </w:tr>
      <w:tr w:rsidR="00F73F30" w:rsidRPr="004628CE" w:rsidTr="006A1052">
        <w:tc>
          <w:tcPr>
            <w:tcW w:w="3720" w:type="dxa"/>
          </w:tcPr>
          <w:p w:rsidR="00F73F30" w:rsidRPr="004628CE" w:rsidRDefault="00F73F30" w:rsidP="00F73F30">
            <w:pPr>
              <w:spacing w:line="276" w:lineRule="auto"/>
              <w:ind w:left="492" w:hangingChars="205" w:hanging="492"/>
              <w:jc w:val="both"/>
            </w:pPr>
            <w:r w:rsidRPr="004628CE">
              <w:rPr>
                <w:rFonts w:eastAsia="標楷體" w:hint="eastAsia"/>
              </w:rPr>
              <w:t>六、</w:t>
            </w:r>
            <w:r w:rsidRPr="004628CE">
              <w:rPr>
                <w:rFonts w:hint="eastAsia"/>
              </w:rPr>
              <w:tab/>
            </w:r>
            <w:r w:rsidRPr="004628CE">
              <w:rPr>
                <w:rFonts w:eastAsia="標楷體" w:hint="eastAsia"/>
              </w:rPr>
              <w:t>簽證精算人員評價資產時，應依資產特性將違約成本、避險成本或債券贖回等因素納入考量，其中</w:t>
            </w:r>
            <w:r w:rsidR="00C223CC" w:rsidRPr="00C223CC">
              <w:rPr>
                <w:rFonts w:eastAsia="標楷體" w:hint="eastAsia"/>
                <w:u w:val="single"/>
              </w:rPr>
              <w:t>就</w:t>
            </w:r>
            <w:r w:rsidRPr="004628CE">
              <w:rPr>
                <w:rFonts w:eastAsia="標楷體" w:hint="eastAsia"/>
              </w:rPr>
              <w:t>違約成本應</w:t>
            </w:r>
            <w:proofErr w:type="gramStart"/>
            <w:r w:rsidRPr="004628CE">
              <w:rPr>
                <w:rFonts w:eastAsia="標楷體" w:hint="eastAsia"/>
              </w:rPr>
              <w:t>採</w:t>
            </w:r>
            <w:proofErr w:type="gramEnd"/>
            <w:r w:rsidRPr="004628CE">
              <w:rPr>
                <w:rFonts w:eastAsia="標楷體" w:hint="eastAsia"/>
              </w:rPr>
              <w:t>公司最近經驗資料或引用國內外知名信用評等公司之最近期研究報告</w:t>
            </w:r>
            <w:r w:rsidR="002A1E01">
              <w:rPr>
                <w:rFonts w:eastAsia="標楷體" w:hAnsi="標楷體" w:hint="eastAsia"/>
                <w:u w:val="single"/>
              </w:rPr>
              <w:t>；</w:t>
            </w:r>
            <w:r w:rsidR="00C223CC">
              <w:rPr>
                <w:rFonts w:eastAsia="標楷體" w:hAnsi="標楷體" w:hint="eastAsia"/>
                <w:u w:val="single"/>
              </w:rPr>
              <w:t>就</w:t>
            </w:r>
            <w:r w:rsidR="002A1E01">
              <w:rPr>
                <w:rFonts w:eastAsia="標楷體" w:hAnsi="標楷體" w:hint="eastAsia"/>
                <w:u w:val="single"/>
              </w:rPr>
              <w:t>債券贖回應提出既有資產</w:t>
            </w:r>
            <w:proofErr w:type="gramStart"/>
            <w:r w:rsidR="002A1E01">
              <w:rPr>
                <w:rFonts w:eastAsia="標楷體" w:hAnsi="標楷體" w:hint="eastAsia"/>
                <w:u w:val="single"/>
              </w:rPr>
              <w:t>及新錢投資</w:t>
            </w:r>
            <w:proofErr w:type="gramEnd"/>
            <w:r w:rsidR="002A1E01">
              <w:rPr>
                <w:rFonts w:eastAsia="標楷體" w:hAnsi="標楷體" w:hint="eastAsia"/>
                <w:u w:val="single"/>
              </w:rPr>
              <w:t>之可贖回資產占</w:t>
            </w:r>
            <w:r w:rsidR="00F46625" w:rsidRPr="004628CE">
              <w:rPr>
                <w:rFonts w:eastAsia="標楷體" w:hAnsi="標楷體" w:hint="eastAsia"/>
                <w:u w:val="single"/>
              </w:rPr>
              <w:t>率，並應納入該因素進行評估</w:t>
            </w:r>
            <w:r w:rsidRPr="004628CE">
              <w:rPr>
                <w:rFonts w:eastAsia="標楷體" w:hint="eastAsia"/>
              </w:rPr>
              <w:t>。如有處分資產，應以市價計算其損益。</w:t>
            </w:r>
          </w:p>
        </w:tc>
        <w:tc>
          <w:tcPr>
            <w:tcW w:w="3720" w:type="dxa"/>
          </w:tcPr>
          <w:p w:rsidR="00F73F30" w:rsidRPr="004628CE" w:rsidRDefault="00F73F30" w:rsidP="00F46625">
            <w:pPr>
              <w:spacing w:line="276" w:lineRule="auto"/>
              <w:ind w:left="492" w:hangingChars="205" w:hanging="492"/>
              <w:jc w:val="both"/>
            </w:pPr>
            <w:r w:rsidRPr="004628CE">
              <w:rPr>
                <w:rFonts w:eastAsia="標楷體" w:hint="eastAsia"/>
              </w:rPr>
              <w:t>六、</w:t>
            </w:r>
            <w:r w:rsidRPr="004628CE">
              <w:rPr>
                <w:rFonts w:hint="eastAsia"/>
              </w:rPr>
              <w:tab/>
            </w:r>
            <w:r w:rsidRPr="004628CE">
              <w:rPr>
                <w:rFonts w:eastAsia="標楷體" w:hint="eastAsia"/>
              </w:rPr>
              <w:t>簽證精算人員評價資產時，應依資產特性將違約成本、避險成本或債券贖回等因素納入考量，其中違約成本應</w:t>
            </w:r>
            <w:proofErr w:type="gramStart"/>
            <w:r w:rsidRPr="004628CE">
              <w:rPr>
                <w:rFonts w:eastAsia="標楷體" w:hint="eastAsia"/>
              </w:rPr>
              <w:t>採</w:t>
            </w:r>
            <w:proofErr w:type="gramEnd"/>
            <w:r w:rsidRPr="004628CE">
              <w:rPr>
                <w:rFonts w:eastAsia="標楷體" w:hint="eastAsia"/>
              </w:rPr>
              <w:t>公司最近經驗資料或引用國內外知名信用評等公司之最近期研究報告。如有處分資產，應以市價計算其損益。</w:t>
            </w:r>
          </w:p>
        </w:tc>
        <w:tc>
          <w:tcPr>
            <w:tcW w:w="1774" w:type="dxa"/>
          </w:tcPr>
          <w:p w:rsidR="00F73F30" w:rsidRPr="00A03692" w:rsidRDefault="002C5C19" w:rsidP="008F2559">
            <w:pPr>
              <w:spacing w:line="276" w:lineRule="auto"/>
              <w:ind w:leftChars="-16" w:left="-38" w:rightChars="-25" w:right="-60"/>
              <w:jc w:val="both"/>
              <w:rPr>
                <w:rFonts w:eastAsia="標楷體"/>
              </w:rPr>
            </w:pPr>
            <w:r w:rsidRPr="00A03692">
              <w:rPr>
                <w:rFonts w:eastAsia="標楷體"/>
              </w:rPr>
              <w:t>為使各公司能</w:t>
            </w:r>
            <w:r w:rsidR="004475DF" w:rsidRPr="00A03692">
              <w:rPr>
                <w:rFonts w:eastAsia="標楷體" w:hint="eastAsia"/>
              </w:rPr>
              <w:t>確實反應未來資產面現金流量</w:t>
            </w:r>
            <w:r w:rsidRPr="00A03692">
              <w:rPr>
                <w:rFonts w:eastAsia="標楷體" w:hint="eastAsia"/>
              </w:rPr>
              <w:t>，</w:t>
            </w:r>
            <w:r w:rsidR="009865DC" w:rsidRPr="00A03692">
              <w:rPr>
                <w:rFonts w:eastAsia="標楷體" w:hint="eastAsia"/>
              </w:rPr>
              <w:t>增</w:t>
            </w:r>
            <w:r w:rsidR="002E476D" w:rsidRPr="00A03692">
              <w:rPr>
                <w:rFonts w:eastAsia="標楷體" w:hint="eastAsia"/>
              </w:rPr>
              <w:t>列</w:t>
            </w:r>
            <w:r w:rsidR="007325C0" w:rsidRPr="00A03692">
              <w:rPr>
                <w:rFonts w:eastAsia="標楷體" w:hint="eastAsia"/>
              </w:rPr>
              <w:t>簽證精算人員</w:t>
            </w:r>
            <w:r w:rsidR="009865DC" w:rsidRPr="00A03692">
              <w:rPr>
                <w:rFonts w:eastAsia="標楷體" w:hint="eastAsia"/>
              </w:rPr>
              <w:t>應考量並評估債券贖回因素</w:t>
            </w:r>
            <w:r w:rsidR="008F2559" w:rsidRPr="00A03692">
              <w:rPr>
                <w:rFonts w:eastAsia="標楷體" w:hint="eastAsia"/>
              </w:rPr>
              <w:t>，且</w:t>
            </w:r>
            <w:r w:rsidR="002A1E01" w:rsidRPr="00A03692">
              <w:rPr>
                <w:rFonts w:eastAsia="標楷體" w:hint="eastAsia"/>
              </w:rPr>
              <w:t>應提出既有資產</w:t>
            </w:r>
            <w:proofErr w:type="gramStart"/>
            <w:r w:rsidR="002A1E01" w:rsidRPr="00A03692">
              <w:rPr>
                <w:rFonts w:eastAsia="標楷體" w:hint="eastAsia"/>
              </w:rPr>
              <w:t>及新錢投資</w:t>
            </w:r>
            <w:proofErr w:type="gramEnd"/>
            <w:r w:rsidR="002A1E01" w:rsidRPr="00A03692">
              <w:rPr>
                <w:rFonts w:eastAsia="標楷體" w:hint="eastAsia"/>
              </w:rPr>
              <w:t>之債券贖回之資產占</w:t>
            </w:r>
            <w:r w:rsidRPr="00A03692">
              <w:rPr>
                <w:rFonts w:eastAsia="標楷體" w:hint="eastAsia"/>
              </w:rPr>
              <w:t>率</w:t>
            </w:r>
            <w:r w:rsidR="004475DF" w:rsidRPr="00A03692">
              <w:rPr>
                <w:rFonts w:eastAsia="標楷體" w:hint="eastAsia"/>
              </w:rPr>
              <w:t>。</w:t>
            </w:r>
          </w:p>
        </w:tc>
      </w:tr>
      <w:tr w:rsidR="009848C3" w:rsidRPr="004628CE" w:rsidTr="00EC2743">
        <w:trPr>
          <w:trHeight w:val="454"/>
        </w:trPr>
        <w:tc>
          <w:tcPr>
            <w:tcW w:w="3720" w:type="dxa"/>
          </w:tcPr>
          <w:p w:rsidR="0084046B" w:rsidRPr="004628CE" w:rsidRDefault="009848C3" w:rsidP="00F6353C">
            <w:pPr>
              <w:spacing w:line="276" w:lineRule="auto"/>
              <w:ind w:left="492" w:hangingChars="205" w:hanging="492"/>
              <w:jc w:val="both"/>
              <w:rPr>
                <w:rFonts w:eastAsia="標楷體"/>
              </w:rPr>
            </w:pPr>
            <w:r w:rsidRPr="004628CE">
              <w:rPr>
                <w:rFonts w:eastAsia="標楷體" w:hint="eastAsia"/>
              </w:rPr>
              <w:t>十、</w:t>
            </w:r>
            <w:r w:rsidRPr="004628CE">
              <w:rPr>
                <w:rFonts w:eastAsia="標楷體" w:hint="eastAsia"/>
              </w:rPr>
              <w:tab/>
            </w:r>
            <w:r w:rsidRPr="004628CE">
              <w:rPr>
                <w:rFonts w:eastAsia="標楷體" w:hint="eastAsia"/>
              </w:rPr>
              <w:t>簽證精算人員應依據可靠之歷史經驗及市場現況，提供各類資產之</w:t>
            </w:r>
            <w:proofErr w:type="gramStart"/>
            <w:r w:rsidRPr="004628CE">
              <w:rPr>
                <w:rFonts w:eastAsia="標楷體" w:hint="eastAsia"/>
              </w:rPr>
              <w:t>風險溢酬</w:t>
            </w:r>
            <w:proofErr w:type="gramEnd"/>
            <w:r w:rsidRPr="004628CE">
              <w:rPr>
                <w:rFonts w:eastAsia="標楷體" w:hint="eastAsia"/>
              </w:rPr>
              <w:t>，且依資產模型之資產類別提供最近</w:t>
            </w:r>
            <w:r w:rsidRPr="004628CE">
              <w:rPr>
                <w:rFonts w:eastAsia="標楷體" w:hint="eastAsia"/>
              </w:rPr>
              <w:t>5</w:t>
            </w:r>
            <w:r w:rsidRPr="004628CE">
              <w:rPr>
                <w:rFonts w:eastAsia="標楷體" w:hint="eastAsia"/>
              </w:rPr>
              <w:t>年至</w:t>
            </w:r>
            <w:r w:rsidRPr="004628CE">
              <w:rPr>
                <w:rFonts w:eastAsia="標楷體" w:hint="eastAsia"/>
              </w:rPr>
              <w:t>10</w:t>
            </w:r>
            <w:r w:rsidRPr="004628CE">
              <w:rPr>
                <w:rFonts w:eastAsia="標楷體" w:hint="eastAsia"/>
              </w:rPr>
              <w:t>年之資金運用收益率</w:t>
            </w:r>
            <w:r w:rsidRPr="004628CE">
              <w:rPr>
                <w:rFonts w:eastAsia="標楷體" w:hint="eastAsia"/>
              </w:rPr>
              <w:t>(</w:t>
            </w:r>
            <w:r w:rsidRPr="004628CE">
              <w:rPr>
                <w:rFonts w:eastAsia="標楷體" w:hint="eastAsia"/>
              </w:rPr>
              <w:t>詳指定附表</w:t>
            </w:r>
            <w:r w:rsidRPr="004628CE">
              <w:rPr>
                <w:rFonts w:eastAsia="標楷體" w:hint="eastAsia"/>
              </w:rPr>
              <w:t>2-1</w:t>
            </w:r>
            <w:r w:rsidRPr="004628CE">
              <w:rPr>
                <w:rFonts w:eastAsia="標楷體" w:hint="eastAsia"/>
              </w:rPr>
              <w:t>，但公司最近資金收益率年度不足</w:t>
            </w:r>
            <w:r w:rsidRPr="004628CE">
              <w:rPr>
                <w:rFonts w:eastAsia="標楷體" w:hint="eastAsia"/>
              </w:rPr>
              <w:t>5</w:t>
            </w:r>
            <w:r w:rsidRPr="004628CE">
              <w:rPr>
                <w:rFonts w:eastAsia="標楷體" w:hint="eastAsia"/>
              </w:rPr>
              <w:t>年者，公司得僅提供各該年度資料</w:t>
            </w:r>
            <w:r w:rsidRPr="004628CE">
              <w:rPr>
                <w:rFonts w:eastAsia="標楷體" w:hint="eastAsia"/>
              </w:rPr>
              <w:t>)</w:t>
            </w:r>
            <w:r w:rsidRPr="004628CE">
              <w:rPr>
                <w:rFonts w:eastAsia="標楷體" w:hint="eastAsia"/>
              </w:rPr>
              <w:t>，並說明假設之合理性。</w:t>
            </w:r>
          </w:p>
          <w:p w:rsidR="009848C3" w:rsidRPr="004628CE" w:rsidRDefault="0084046B" w:rsidP="0084046B">
            <w:pPr>
              <w:spacing w:line="276" w:lineRule="auto"/>
              <w:ind w:leftChars="205" w:left="492" w:firstLine="2"/>
              <w:jc w:val="both"/>
              <w:rPr>
                <w:rFonts w:eastAsia="標楷體"/>
              </w:rPr>
            </w:pPr>
            <w:r w:rsidRPr="004628CE">
              <w:rPr>
                <w:rFonts w:eastAsia="標楷體" w:hAnsi="標楷體" w:hint="eastAsia"/>
                <w:u w:val="single"/>
              </w:rPr>
              <w:t>簽證精算人員於訂定股票</w:t>
            </w:r>
            <w:r w:rsidR="00CC1DAC">
              <w:rPr>
                <w:rFonts w:eastAsia="標楷體" w:hAnsi="標楷體" w:hint="eastAsia"/>
                <w:u w:val="single"/>
              </w:rPr>
              <w:t>投</w:t>
            </w:r>
            <w:r w:rsidR="00CC1DAC">
              <w:rPr>
                <w:rFonts w:eastAsia="標楷體" w:hAnsi="標楷體" w:hint="eastAsia"/>
                <w:u w:val="single"/>
              </w:rPr>
              <w:lastRenderedPageBreak/>
              <w:t>資</w:t>
            </w:r>
            <w:r w:rsidRPr="004628CE">
              <w:rPr>
                <w:rFonts w:eastAsia="標楷體" w:hAnsi="標楷體" w:hint="eastAsia"/>
                <w:u w:val="single"/>
              </w:rPr>
              <w:t>報酬率之精算假設時，應參照人身保險業簽證精算人員實務處理原則，反映公司實際經驗</w:t>
            </w:r>
            <w:r w:rsidR="002A1E01">
              <w:rPr>
                <w:rFonts w:eastAsia="標楷體" w:hAnsi="標楷體" w:hint="eastAsia"/>
                <w:u w:val="single"/>
              </w:rPr>
              <w:t>以</w:t>
            </w:r>
            <w:r w:rsidRPr="004628CE">
              <w:rPr>
                <w:rFonts w:eastAsia="標楷體" w:hAnsi="標楷體" w:hint="eastAsia"/>
                <w:u w:val="single"/>
              </w:rPr>
              <w:t>決定</w:t>
            </w:r>
            <w:proofErr w:type="gramStart"/>
            <w:r w:rsidRPr="004628CE">
              <w:rPr>
                <w:rFonts w:eastAsia="標楷體" w:hAnsi="標楷體" w:hint="eastAsia"/>
                <w:u w:val="single"/>
              </w:rPr>
              <w:t>最</w:t>
            </w:r>
            <w:proofErr w:type="gramEnd"/>
            <w:r w:rsidRPr="004628CE">
              <w:rPr>
                <w:rFonts w:eastAsia="標楷體" w:hAnsi="標楷體" w:hint="eastAsia"/>
                <w:u w:val="single"/>
              </w:rPr>
              <w:t>適假設。</w:t>
            </w:r>
          </w:p>
        </w:tc>
        <w:tc>
          <w:tcPr>
            <w:tcW w:w="3720" w:type="dxa"/>
          </w:tcPr>
          <w:p w:rsidR="00D24BCF" w:rsidRPr="004628CE" w:rsidRDefault="009848C3" w:rsidP="00EC2743">
            <w:pPr>
              <w:spacing w:line="276" w:lineRule="auto"/>
              <w:ind w:left="492" w:hangingChars="205" w:hanging="492"/>
              <w:jc w:val="both"/>
              <w:rPr>
                <w:rFonts w:eastAsia="標楷體"/>
              </w:rPr>
            </w:pPr>
            <w:r w:rsidRPr="004628CE">
              <w:rPr>
                <w:rFonts w:eastAsia="標楷體" w:hint="eastAsia"/>
              </w:rPr>
              <w:lastRenderedPageBreak/>
              <w:t>十、</w:t>
            </w:r>
            <w:r w:rsidRPr="004628CE">
              <w:rPr>
                <w:rFonts w:eastAsia="標楷體" w:hint="eastAsia"/>
              </w:rPr>
              <w:tab/>
            </w:r>
            <w:r w:rsidRPr="004628CE">
              <w:rPr>
                <w:rFonts w:eastAsia="標楷體" w:hint="eastAsia"/>
              </w:rPr>
              <w:t>簽證精算人員應依據可靠之歷史經驗及市場現況，提供各類資產之</w:t>
            </w:r>
            <w:proofErr w:type="gramStart"/>
            <w:r w:rsidRPr="004628CE">
              <w:rPr>
                <w:rFonts w:eastAsia="標楷體" w:hint="eastAsia"/>
              </w:rPr>
              <w:t>風險溢酬</w:t>
            </w:r>
            <w:proofErr w:type="gramEnd"/>
            <w:r w:rsidRPr="004628CE">
              <w:rPr>
                <w:rFonts w:eastAsia="標楷體" w:hint="eastAsia"/>
              </w:rPr>
              <w:t>，且依資產模型之資產類別提供最近</w:t>
            </w:r>
            <w:r w:rsidRPr="004628CE">
              <w:rPr>
                <w:rFonts w:eastAsia="標楷體" w:hint="eastAsia"/>
              </w:rPr>
              <w:t>5</w:t>
            </w:r>
            <w:r w:rsidRPr="004628CE">
              <w:rPr>
                <w:rFonts w:eastAsia="標楷體" w:hint="eastAsia"/>
              </w:rPr>
              <w:t>年至</w:t>
            </w:r>
            <w:r w:rsidRPr="004628CE">
              <w:rPr>
                <w:rFonts w:eastAsia="標楷體" w:hint="eastAsia"/>
              </w:rPr>
              <w:t>10</w:t>
            </w:r>
            <w:r w:rsidRPr="004628CE">
              <w:rPr>
                <w:rFonts w:eastAsia="標楷體" w:hint="eastAsia"/>
              </w:rPr>
              <w:t>年之資金運用收益率</w:t>
            </w:r>
            <w:r w:rsidRPr="004628CE">
              <w:rPr>
                <w:rFonts w:eastAsia="標楷體" w:hint="eastAsia"/>
              </w:rPr>
              <w:t>(</w:t>
            </w:r>
            <w:r w:rsidRPr="004628CE">
              <w:rPr>
                <w:rFonts w:eastAsia="標楷體" w:hint="eastAsia"/>
              </w:rPr>
              <w:t>詳指定附表</w:t>
            </w:r>
            <w:r w:rsidRPr="004628CE">
              <w:rPr>
                <w:rFonts w:eastAsia="標楷體" w:hint="eastAsia"/>
              </w:rPr>
              <w:t>2-1</w:t>
            </w:r>
            <w:r w:rsidRPr="004628CE">
              <w:rPr>
                <w:rFonts w:eastAsia="標楷體" w:hint="eastAsia"/>
              </w:rPr>
              <w:t>，但公司最近資金收益率年度不足</w:t>
            </w:r>
            <w:r w:rsidRPr="004628CE">
              <w:rPr>
                <w:rFonts w:eastAsia="標楷體" w:hint="eastAsia"/>
              </w:rPr>
              <w:t>5</w:t>
            </w:r>
            <w:r w:rsidRPr="004628CE">
              <w:rPr>
                <w:rFonts w:eastAsia="標楷體" w:hint="eastAsia"/>
              </w:rPr>
              <w:t>年者，公司得僅提供各該年度資料</w:t>
            </w:r>
            <w:r w:rsidRPr="004628CE">
              <w:rPr>
                <w:rFonts w:eastAsia="標楷體" w:hint="eastAsia"/>
              </w:rPr>
              <w:t>)</w:t>
            </w:r>
            <w:r w:rsidRPr="004628CE">
              <w:rPr>
                <w:rFonts w:eastAsia="標楷體" w:hint="eastAsia"/>
              </w:rPr>
              <w:t>，並說明假設之合理性。</w:t>
            </w:r>
          </w:p>
        </w:tc>
        <w:tc>
          <w:tcPr>
            <w:tcW w:w="1774" w:type="dxa"/>
          </w:tcPr>
          <w:p w:rsidR="009848C3" w:rsidRPr="00A03692" w:rsidRDefault="00F55F2B" w:rsidP="007325C0">
            <w:pPr>
              <w:spacing w:line="276" w:lineRule="auto"/>
              <w:ind w:leftChars="-16" w:left="-38" w:rightChars="-25" w:right="-60"/>
              <w:jc w:val="both"/>
              <w:rPr>
                <w:rFonts w:eastAsia="標楷體"/>
              </w:rPr>
            </w:pPr>
            <w:r w:rsidRPr="00A03692">
              <w:rPr>
                <w:rFonts w:eastAsia="標楷體" w:hint="eastAsia"/>
              </w:rPr>
              <w:t>為使公司確實考量本身實際經驗訂定</w:t>
            </w:r>
            <w:proofErr w:type="gramStart"/>
            <w:r w:rsidR="00FE4C8C" w:rsidRPr="00A03692">
              <w:rPr>
                <w:rFonts w:eastAsia="標楷體" w:hint="eastAsia"/>
              </w:rPr>
              <w:t>最</w:t>
            </w:r>
            <w:proofErr w:type="gramEnd"/>
            <w:r w:rsidR="00FE4C8C" w:rsidRPr="00A03692">
              <w:rPr>
                <w:rFonts w:eastAsia="標楷體" w:hint="eastAsia"/>
              </w:rPr>
              <w:t>適</w:t>
            </w:r>
            <w:r w:rsidRPr="00A03692">
              <w:rPr>
                <w:rFonts w:eastAsia="標楷體" w:hint="eastAsia"/>
              </w:rPr>
              <w:t>股票</w:t>
            </w:r>
            <w:r w:rsidR="0003449E" w:rsidRPr="00A03692">
              <w:rPr>
                <w:rFonts w:eastAsia="標楷體" w:hint="eastAsia"/>
              </w:rPr>
              <w:t>投資</w:t>
            </w:r>
            <w:r w:rsidRPr="00A03692">
              <w:rPr>
                <w:rFonts w:eastAsia="標楷體" w:hint="eastAsia"/>
              </w:rPr>
              <w:t>報酬率，</w:t>
            </w:r>
            <w:proofErr w:type="gramStart"/>
            <w:r w:rsidR="003E3E9B" w:rsidRPr="00C223CC">
              <w:rPr>
                <w:rFonts w:eastAsia="標楷體" w:hint="eastAsia"/>
              </w:rPr>
              <w:t>爰</w:t>
            </w:r>
            <w:proofErr w:type="gramEnd"/>
            <w:r w:rsidR="003E3E9B" w:rsidRPr="00C223CC">
              <w:rPr>
                <w:rFonts w:eastAsia="標楷體" w:hint="eastAsia"/>
              </w:rPr>
              <w:t>增列第二項規定</w:t>
            </w:r>
            <w:r w:rsidR="00830AD1" w:rsidRPr="00A03692">
              <w:rPr>
                <w:rFonts w:eastAsia="標楷體" w:hint="eastAsia"/>
              </w:rPr>
              <w:t>評估</w:t>
            </w:r>
            <w:r w:rsidRPr="00A03692">
              <w:rPr>
                <w:rFonts w:eastAsia="標楷體" w:hint="eastAsia"/>
              </w:rPr>
              <w:t>股票</w:t>
            </w:r>
            <w:r w:rsidR="0003449E" w:rsidRPr="00A03692">
              <w:rPr>
                <w:rFonts w:eastAsia="標楷體" w:hint="eastAsia"/>
              </w:rPr>
              <w:t>投資</w:t>
            </w:r>
            <w:r w:rsidRPr="00A03692">
              <w:rPr>
                <w:rFonts w:eastAsia="標楷體" w:hint="eastAsia"/>
              </w:rPr>
              <w:t>報酬率之精算假設時應參照人身保險業簽證精算</w:t>
            </w:r>
            <w:r w:rsidRPr="00A03692">
              <w:rPr>
                <w:rFonts w:eastAsia="標楷體" w:hint="eastAsia"/>
              </w:rPr>
              <w:lastRenderedPageBreak/>
              <w:t>人員實務處理原則</w:t>
            </w:r>
            <w:r w:rsidR="00CC1DAC" w:rsidRPr="00A03692">
              <w:rPr>
                <w:rFonts w:eastAsia="標楷體" w:hint="eastAsia"/>
              </w:rPr>
              <w:t>，</w:t>
            </w:r>
            <w:proofErr w:type="gramStart"/>
            <w:r w:rsidR="00CC1DAC" w:rsidRPr="00A03692">
              <w:rPr>
                <w:rFonts w:eastAsia="標楷體" w:hint="eastAsia"/>
              </w:rPr>
              <w:t>俾</w:t>
            </w:r>
            <w:proofErr w:type="gramEnd"/>
            <w:r w:rsidR="00CC1DAC" w:rsidRPr="00A03692">
              <w:rPr>
                <w:rFonts w:eastAsia="標楷體" w:hint="eastAsia"/>
              </w:rPr>
              <w:t>利強化股票報酬率假設之合理性</w:t>
            </w:r>
            <w:r w:rsidR="00FE4C8C" w:rsidRPr="00A03692">
              <w:rPr>
                <w:rFonts w:eastAsia="標楷體" w:hint="eastAsia"/>
              </w:rPr>
              <w:t>。</w:t>
            </w:r>
          </w:p>
        </w:tc>
      </w:tr>
      <w:tr w:rsidR="00B95F7A" w:rsidRPr="004628CE" w:rsidTr="00B80FFD">
        <w:trPr>
          <w:trHeight w:val="454"/>
        </w:trPr>
        <w:tc>
          <w:tcPr>
            <w:tcW w:w="3720" w:type="dxa"/>
            <w:vAlign w:val="center"/>
          </w:tcPr>
          <w:p w:rsidR="00B95F7A" w:rsidRPr="004628CE" w:rsidRDefault="00B95F7A" w:rsidP="00B95F7A">
            <w:pPr>
              <w:spacing w:line="276" w:lineRule="auto"/>
              <w:ind w:left="492" w:hangingChars="205" w:hanging="492"/>
              <w:jc w:val="both"/>
              <w:rPr>
                <w:rFonts w:eastAsia="標楷體"/>
              </w:rPr>
            </w:pPr>
            <w:r w:rsidRPr="004628CE">
              <w:rPr>
                <w:rFonts w:eastAsia="標楷體" w:hint="eastAsia"/>
              </w:rPr>
              <w:lastRenderedPageBreak/>
              <w:t>十四、</w:t>
            </w:r>
            <w:r w:rsidRPr="004628CE">
              <w:rPr>
                <w:rFonts w:eastAsia="標楷體"/>
              </w:rPr>
              <w:t>簽證精算人員</w:t>
            </w:r>
            <w:proofErr w:type="gramStart"/>
            <w:r w:rsidRPr="004628CE">
              <w:rPr>
                <w:rFonts w:eastAsia="標楷體"/>
              </w:rPr>
              <w:t>應檢附當年度</w:t>
            </w:r>
            <w:proofErr w:type="gramEnd"/>
            <w:r w:rsidRPr="004628CE">
              <w:rPr>
                <w:rFonts w:eastAsia="標楷體"/>
              </w:rPr>
              <w:t>與上年度之資產面假設對照表，除說明所採用之精算軟體外，至少應包括各類資產</w:t>
            </w:r>
            <w:proofErr w:type="gramStart"/>
            <w:r w:rsidRPr="004628CE">
              <w:rPr>
                <w:rFonts w:eastAsia="標楷體"/>
              </w:rPr>
              <w:t>風險溢酬</w:t>
            </w:r>
            <w:proofErr w:type="gramEnd"/>
            <w:r w:rsidRPr="004628CE">
              <w:rPr>
                <w:rFonts w:eastAsia="標楷體"/>
              </w:rPr>
              <w:t>、違約成本、避險成本、</w:t>
            </w:r>
            <w:proofErr w:type="gramStart"/>
            <w:r w:rsidRPr="004628CE">
              <w:rPr>
                <w:rFonts w:eastAsia="標楷體"/>
              </w:rPr>
              <w:t>新錢資產</w:t>
            </w:r>
            <w:proofErr w:type="gramEnd"/>
            <w:r w:rsidRPr="004628CE">
              <w:rPr>
                <w:rFonts w:eastAsia="標楷體"/>
              </w:rPr>
              <w:t>配置及最佳估計利率情境等資產面假設。若假設完全相同者，應說明其適當性；若有不一致者，應說明其原因及影響是否顯著。如有顯著影響，應以量化方式評估其影響程度</w:t>
            </w:r>
            <w:r w:rsidRPr="004628CE">
              <w:rPr>
                <w:rFonts w:eastAsia="標楷體" w:hint="eastAsia"/>
              </w:rPr>
              <w:t>(</w:t>
            </w:r>
            <w:r w:rsidRPr="004628CE">
              <w:rPr>
                <w:rFonts w:eastAsia="標楷體"/>
              </w:rPr>
              <w:t>準備金適足性測試之變動</w:t>
            </w:r>
            <w:proofErr w:type="gramStart"/>
            <w:r w:rsidRPr="004628CE">
              <w:rPr>
                <w:rFonts w:eastAsia="標楷體"/>
              </w:rPr>
              <w:t>分析</w:t>
            </w:r>
            <w:r w:rsidRPr="004628CE">
              <w:rPr>
                <w:rFonts w:eastAsia="標楷體" w:hint="eastAsia"/>
              </w:rPr>
              <w:t>表</w:t>
            </w:r>
            <w:r w:rsidRPr="004628CE">
              <w:rPr>
                <w:rFonts w:eastAsia="標楷體"/>
              </w:rPr>
              <w:t>詳指定</w:t>
            </w:r>
            <w:proofErr w:type="gramEnd"/>
            <w:r w:rsidRPr="004628CE">
              <w:rPr>
                <w:rFonts w:eastAsia="標楷體"/>
              </w:rPr>
              <w:t>附表</w:t>
            </w:r>
            <w:r w:rsidRPr="004628CE">
              <w:rPr>
                <w:rFonts w:eastAsia="標楷體"/>
              </w:rPr>
              <w:t>15</w:t>
            </w:r>
            <w:r w:rsidRPr="004628CE">
              <w:rPr>
                <w:rFonts w:eastAsia="標楷體" w:hint="eastAsia"/>
              </w:rPr>
              <w:t>)</w:t>
            </w:r>
            <w:r w:rsidRPr="004628CE">
              <w:rPr>
                <w:rFonts w:eastAsia="標楷體"/>
              </w:rPr>
              <w:t>。</w:t>
            </w:r>
          </w:p>
          <w:p w:rsidR="00B95F7A" w:rsidRPr="004628CE" w:rsidRDefault="00B95F7A" w:rsidP="00B95F7A">
            <w:pPr>
              <w:spacing w:line="276" w:lineRule="auto"/>
              <w:ind w:leftChars="205" w:left="492" w:firstLineChars="2" w:firstLine="5"/>
              <w:jc w:val="both"/>
              <w:rPr>
                <w:rFonts w:eastAsia="標楷體"/>
              </w:rPr>
            </w:pPr>
            <w:r w:rsidRPr="004628CE">
              <w:rPr>
                <w:rFonts w:eastAsia="標楷體"/>
              </w:rPr>
              <w:t>除因法令或主管機關或其指定機構公告之基礎情境而變動外，簽證精算人員應依下列規定辦理：</w:t>
            </w:r>
          </w:p>
          <w:p w:rsidR="00B95F7A" w:rsidRPr="004628CE" w:rsidRDefault="00B95F7A" w:rsidP="00B95F7A">
            <w:pPr>
              <w:spacing w:line="276" w:lineRule="auto"/>
              <w:ind w:leftChars="213" w:left="972" w:hangingChars="192" w:hanging="461"/>
              <w:jc w:val="both"/>
              <w:rPr>
                <w:rFonts w:eastAsia="標楷體"/>
              </w:rPr>
            </w:pPr>
            <w:r w:rsidRPr="004628CE">
              <w:rPr>
                <w:rFonts w:eastAsia="標楷體"/>
              </w:rPr>
              <w:t>(</w:t>
            </w:r>
            <w:proofErr w:type="gramStart"/>
            <w:r w:rsidRPr="004628CE">
              <w:rPr>
                <w:rFonts w:eastAsia="標楷體"/>
              </w:rPr>
              <w:t>一</w:t>
            </w:r>
            <w:proofErr w:type="gramEnd"/>
            <w:r w:rsidRPr="004628CE">
              <w:rPr>
                <w:rFonts w:eastAsia="標楷體"/>
              </w:rPr>
              <w:t>)</w:t>
            </w:r>
            <w:r w:rsidRPr="004628CE">
              <w:rPr>
                <w:rFonts w:eastAsia="標楷體"/>
              </w:rPr>
              <w:t>若精算假設變動致使</w:t>
            </w:r>
            <w:r w:rsidRPr="004628CE">
              <w:rPr>
                <w:rFonts w:eastAsia="標楷體" w:hint="eastAsia"/>
              </w:rPr>
              <w:t>各項簽證項目之測試結果</w:t>
            </w:r>
            <w:r w:rsidRPr="004628CE">
              <w:rPr>
                <w:rFonts w:eastAsia="標楷體"/>
              </w:rPr>
              <w:t>有顯著影響時，應評估其影響數，且揭露於精算意見書，並應報經董事會決議通過。</w:t>
            </w:r>
          </w:p>
          <w:p w:rsidR="00B95F7A" w:rsidRPr="004628CE" w:rsidRDefault="00B95F7A" w:rsidP="00B95F7A">
            <w:pPr>
              <w:spacing w:line="276" w:lineRule="auto"/>
              <w:ind w:leftChars="213" w:left="972" w:hangingChars="192" w:hanging="461"/>
              <w:jc w:val="both"/>
              <w:rPr>
                <w:rFonts w:eastAsia="標楷體"/>
              </w:rPr>
            </w:pPr>
            <w:r w:rsidRPr="004628CE">
              <w:rPr>
                <w:rFonts w:eastAsia="標楷體"/>
              </w:rPr>
              <w:t>(</w:t>
            </w:r>
            <w:r w:rsidRPr="004628CE">
              <w:rPr>
                <w:rFonts w:eastAsia="標楷體"/>
              </w:rPr>
              <w:t>二</w:t>
            </w:r>
            <w:r w:rsidRPr="004628CE">
              <w:rPr>
                <w:rFonts w:eastAsia="標楷體"/>
              </w:rPr>
              <w:t>)</w:t>
            </w:r>
            <w:r w:rsidRPr="004628CE">
              <w:rPr>
                <w:rFonts w:eastAsia="標楷體"/>
              </w:rPr>
              <w:t>若精算假設變動致使</w:t>
            </w:r>
            <w:r w:rsidRPr="004628CE">
              <w:rPr>
                <w:rFonts w:eastAsia="標楷體" w:hint="eastAsia"/>
              </w:rPr>
              <w:t>各項簽證項目之</w:t>
            </w:r>
            <w:r w:rsidRPr="004628CE">
              <w:rPr>
                <w:rFonts w:eastAsia="標楷體"/>
              </w:rPr>
              <w:t>測試結果更趨保守時，僅須說明該變動之合理性及必要性。</w:t>
            </w:r>
          </w:p>
          <w:p w:rsidR="00514664" w:rsidRPr="004628CE" w:rsidRDefault="00514664" w:rsidP="00514664">
            <w:pPr>
              <w:spacing w:line="276" w:lineRule="auto"/>
              <w:ind w:leftChars="205" w:left="492" w:firstLineChars="2" w:firstLine="5"/>
              <w:jc w:val="both"/>
              <w:rPr>
                <w:rFonts w:eastAsia="標楷體"/>
                <w:u w:val="single"/>
              </w:rPr>
            </w:pPr>
            <w:r w:rsidRPr="004628CE">
              <w:rPr>
                <w:rFonts w:eastAsia="標楷體" w:hint="eastAsia"/>
                <w:u w:val="single"/>
              </w:rPr>
              <w:lastRenderedPageBreak/>
              <w:t>簽證精算人員應提出精算假設變動致使各簽證項目測試結果產生顯著影響之判斷標準。</w:t>
            </w:r>
          </w:p>
        </w:tc>
        <w:tc>
          <w:tcPr>
            <w:tcW w:w="3720" w:type="dxa"/>
            <w:vAlign w:val="center"/>
          </w:tcPr>
          <w:p w:rsidR="00B95F7A" w:rsidRPr="004628CE" w:rsidRDefault="00B95F7A" w:rsidP="00B95F7A">
            <w:pPr>
              <w:spacing w:line="276" w:lineRule="auto"/>
              <w:ind w:left="492" w:hangingChars="205" w:hanging="492"/>
              <w:jc w:val="both"/>
              <w:rPr>
                <w:rFonts w:eastAsia="標楷體"/>
              </w:rPr>
            </w:pPr>
            <w:r w:rsidRPr="004628CE">
              <w:rPr>
                <w:rFonts w:eastAsia="標楷體" w:hint="eastAsia"/>
              </w:rPr>
              <w:lastRenderedPageBreak/>
              <w:t>十四、</w:t>
            </w:r>
            <w:r w:rsidRPr="004628CE">
              <w:rPr>
                <w:rFonts w:eastAsia="標楷體"/>
              </w:rPr>
              <w:t>簽證精算人員</w:t>
            </w:r>
            <w:proofErr w:type="gramStart"/>
            <w:r w:rsidRPr="004628CE">
              <w:rPr>
                <w:rFonts w:eastAsia="標楷體"/>
              </w:rPr>
              <w:t>應檢附當年度</w:t>
            </w:r>
            <w:proofErr w:type="gramEnd"/>
            <w:r w:rsidRPr="004628CE">
              <w:rPr>
                <w:rFonts w:eastAsia="標楷體"/>
              </w:rPr>
              <w:t>與上年度之資產面假設對照表，除說明所採用之精算軟體外，至少應包括各類資產</w:t>
            </w:r>
            <w:proofErr w:type="gramStart"/>
            <w:r w:rsidRPr="004628CE">
              <w:rPr>
                <w:rFonts w:eastAsia="標楷體"/>
              </w:rPr>
              <w:t>風險溢酬</w:t>
            </w:r>
            <w:proofErr w:type="gramEnd"/>
            <w:r w:rsidRPr="004628CE">
              <w:rPr>
                <w:rFonts w:eastAsia="標楷體"/>
              </w:rPr>
              <w:t>、違約成本、避險成本、</w:t>
            </w:r>
            <w:proofErr w:type="gramStart"/>
            <w:r w:rsidRPr="004628CE">
              <w:rPr>
                <w:rFonts w:eastAsia="標楷體"/>
              </w:rPr>
              <w:t>新錢資產</w:t>
            </w:r>
            <w:proofErr w:type="gramEnd"/>
            <w:r w:rsidRPr="004628CE">
              <w:rPr>
                <w:rFonts w:eastAsia="標楷體"/>
              </w:rPr>
              <w:t>配置及最佳估計利率情境等資產面假設。若假設完全相同者，應說明其適當性；若有不一致者，應說明其原因及影響是否顯著。如有顯著影響，應以量化方式評估其影響程度</w:t>
            </w:r>
            <w:r w:rsidRPr="004628CE">
              <w:rPr>
                <w:rFonts w:eastAsia="標楷體" w:hint="eastAsia"/>
              </w:rPr>
              <w:t>(</w:t>
            </w:r>
            <w:r w:rsidRPr="004628CE">
              <w:rPr>
                <w:rFonts w:eastAsia="標楷體"/>
              </w:rPr>
              <w:t>準備金適足性測試之變動</w:t>
            </w:r>
            <w:proofErr w:type="gramStart"/>
            <w:r w:rsidRPr="004628CE">
              <w:rPr>
                <w:rFonts w:eastAsia="標楷體"/>
              </w:rPr>
              <w:t>分析</w:t>
            </w:r>
            <w:r w:rsidRPr="004628CE">
              <w:rPr>
                <w:rFonts w:eastAsia="標楷體" w:hint="eastAsia"/>
              </w:rPr>
              <w:t>表</w:t>
            </w:r>
            <w:r w:rsidRPr="004628CE">
              <w:rPr>
                <w:rFonts w:eastAsia="標楷體"/>
              </w:rPr>
              <w:t>詳指定</w:t>
            </w:r>
            <w:proofErr w:type="gramEnd"/>
            <w:r w:rsidRPr="004628CE">
              <w:rPr>
                <w:rFonts w:eastAsia="標楷體"/>
              </w:rPr>
              <w:t>附表</w:t>
            </w:r>
            <w:r w:rsidRPr="004628CE">
              <w:rPr>
                <w:rFonts w:eastAsia="標楷體"/>
              </w:rPr>
              <w:t>15</w:t>
            </w:r>
            <w:r w:rsidRPr="004628CE">
              <w:rPr>
                <w:rFonts w:eastAsia="標楷體" w:hint="eastAsia"/>
              </w:rPr>
              <w:t>)</w:t>
            </w:r>
            <w:r w:rsidRPr="004628CE">
              <w:rPr>
                <w:rFonts w:eastAsia="標楷體"/>
              </w:rPr>
              <w:t>。</w:t>
            </w:r>
          </w:p>
          <w:p w:rsidR="00B95F7A" w:rsidRPr="004628CE" w:rsidRDefault="00B95F7A" w:rsidP="00B95F7A">
            <w:pPr>
              <w:spacing w:line="276" w:lineRule="auto"/>
              <w:ind w:leftChars="205" w:left="492" w:firstLineChars="2" w:firstLine="5"/>
              <w:jc w:val="both"/>
              <w:rPr>
                <w:rFonts w:eastAsia="標楷體"/>
              </w:rPr>
            </w:pPr>
            <w:r w:rsidRPr="004628CE">
              <w:rPr>
                <w:rFonts w:eastAsia="標楷體"/>
              </w:rPr>
              <w:t>除因法令或主管機關或其指定機構公告之基礎情境而變動外，簽證精算人員應依下列規定辦理：</w:t>
            </w:r>
          </w:p>
          <w:p w:rsidR="00B95F7A" w:rsidRPr="004628CE" w:rsidRDefault="00B95F7A" w:rsidP="00B95F7A">
            <w:pPr>
              <w:spacing w:line="276" w:lineRule="auto"/>
              <w:ind w:leftChars="213" w:left="972" w:hangingChars="192" w:hanging="461"/>
              <w:jc w:val="both"/>
              <w:rPr>
                <w:rFonts w:eastAsia="標楷體"/>
              </w:rPr>
            </w:pPr>
            <w:r w:rsidRPr="004628CE">
              <w:rPr>
                <w:rFonts w:eastAsia="標楷體"/>
              </w:rPr>
              <w:t>(</w:t>
            </w:r>
            <w:proofErr w:type="gramStart"/>
            <w:r w:rsidRPr="004628CE">
              <w:rPr>
                <w:rFonts w:eastAsia="標楷體"/>
              </w:rPr>
              <w:t>一</w:t>
            </w:r>
            <w:proofErr w:type="gramEnd"/>
            <w:r w:rsidRPr="004628CE">
              <w:rPr>
                <w:rFonts w:eastAsia="標楷體"/>
              </w:rPr>
              <w:t>)</w:t>
            </w:r>
            <w:r w:rsidRPr="004628CE">
              <w:rPr>
                <w:rFonts w:eastAsia="標楷體"/>
              </w:rPr>
              <w:t>若精算假設變動致使</w:t>
            </w:r>
            <w:r w:rsidRPr="004628CE">
              <w:rPr>
                <w:rFonts w:eastAsia="標楷體" w:hint="eastAsia"/>
              </w:rPr>
              <w:t>各項簽證項目之測試結果</w:t>
            </w:r>
            <w:r w:rsidRPr="004628CE">
              <w:rPr>
                <w:rFonts w:eastAsia="標楷體"/>
              </w:rPr>
              <w:t>有顯著影響時，應評估其影響數，且揭露於精算意見書，並應報經董事會決議通過。</w:t>
            </w:r>
          </w:p>
          <w:p w:rsidR="00B95F7A" w:rsidRPr="004628CE" w:rsidRDefault="00B95F7A" w:rsidP="00B95F7A">
            <w:pPr>
              <w:spacing w:line="276" w:lineRule="auto"/>
              <w:ind w:leftChars="213" w:left="972" w:hangingChars="192" w:hanging="461"/>
              <w:jc w:val="both"/>
              <w:rPr>
                <w:rFonts w:eastAsia="標楷體"/>
              </w:rPr>
            </w:pPr>
            <w:r w:rsidRPr="004628CE">
              <w:rPr>
                <w:rFonts w:eastAsia="標楷體"/>
              </w:rPr>
              <w:t>(</w:t>
            </w:r>
            <w:r w:rsidRPr="004628CE">
              <w:rPr>
                <w:rFonts w:eastAsia="標楷體"/>
              </w:rPr>
              <w:t>二</w:t>
            </w:r>
            <w:r w:rsidRPr="004628CE">
              <w:rPr>
                <w:rFonts w:eastAsia="標楷體"/>
              </w:rPr>
              <w:t>)</w:t>
            </w:r>
            <w:r w:rsidRPr="004628CE">
              <w:rPr>
                <w:rFonts w:eastAsia="標楷體"/>
              </w:rPr>
              <w:t>若精算假設變動致使</w:t>
            </w:r>
            <w:r w:rsidRPr="004628CE">
              <w:rPr>
                <w:rFonts w:eastAsia="標楷體" w:hint="eastAsia"/>
              </w:rPr>
              <w:t>各項簽證項目之</w:t>
            </w:r>
            <w:r w:rsidRPr="004628CE">
              <w:rPr>
                <w:rFonts w:eastAsia="標楷體"/>
              </w:rPr>
              <w:t>測試結果更趨保守時，僅須說明該變動之合理性及必要性。</w:t>
            </w:r>
          </w:p>
        </w:tc>
        <w:tc>
          <w:tcPr>
            <w:tcW w:w="1774" w:type="dxa"/>
          </w:tcPr>
          <w:p w:rsidR="00B95F7A" w:rsidRPr="00C223CC" w:rsidRDefault="00B80FFD" w:rsidP="00B80FFD">
            <w:pPr>
              <w:spacing w:line="276" w:lineRule="auto"/>
              <w:ind w:leftChars="-16" w:left="-38" w:rightChars="-25" w:right="-60"/>
              <w:jc w:val="both"/>
              <w:rPr>
                <w:rFonts w:eastAsia="標楷體"/>
                <w:kern w:val="0"/>
              </w:rPr>
            </w:pPr>
            <w:r w:rsidRPr="00C223CC">
              <w:rPr>
                <w:rFonts w:eastAsia="標楷體"/>
              </w:rPr>
              <w:t>為瞭解各公司</w:t>
            </w:r>
            <w:r w:rsidRPr="00C223CC">
              <w:rPr>
                <w:rFonts w:eastAsia="標楷體"/>
                <w:kern w:val="0"/>
              </w:rPr>
              <w:t>對</w:t>
            </w:r>
            <w:r w:rsidRPr="00C223CC">
              <w:rPr>
                <w:rFonts w:eastAsia="標楷體"/>
                <w:bCs/>
              </w:rPr>
              <w:t>假設變動致顯著影響之判斷標準</w:t>
            </w:r>
            <w:r w:rsidRPr="00C223CC">
              <w:rPr>
                <w:rFonts w:eastAsia="標楷體"/>
              </w:rPr>
              <w:t>，</w:t>
            </w:r>
            <w:proofErr w:type="gramStart"/>
            <w:r w:rsidRPr="00C223CC">
              <w:rPr>
                <w:rFonts w:eastAsia="標楷體" w:hint="eastAsia"/>
              </w:rPr>
              <w:t>爰</w:t>
            </w:r>
            <w:proofErr w:type="gramEnd"/>
            <w:r w:rsidRPr="00C223CC">
              <w:rPr>
                <w:rFonts w:eastAsia="標楷體" w:hint="eastAsia"/>
              </w:rPr>
              <w:t>增列第</w:t>
            </w:r>
            <w:r w:rsidR="00841139">
              <w:rPr>
                <w:rFonts w:eastAsia="標楷體" w:hint="eastAsia"/>
              </w:rPr>
              <w:t>三</w:t>
            </w:r>
            <w:r w:rsidRPr="00C223CC">
              <w:rPr>
                <w:rFonts w:eastAsia="標楷體" w:hint="eastAsia"/>
              </w:rPr>
              <w:t>項</w:t>
            </w:r>
            <w:r w:rsidRPr="00C223CC">
              <w:rPr>
                <w:rFonts w:eastAsia="標楷體"/>
              </w:rPr>
              <w:t>規範</w:t>
            </w:r>
            <w:r w:rsidRPr="00C223CC">
              <w:rPr>
                <w:rFonts w:eastAsia="標楷體"/>
                <w:kern w:val="0"/>
              </w:rPr>
              <w:t>簽證精算人員應提出精算假設變動致使各簽證項目測試結果產生顯著影響之判斷標準。</w:t>
            </w:r>
          </w:p>
          <w:p w:rsidR="00F616CB" w:rsidRPr="00C223CC" w:rsidRDefault="00CC1DAC" w:rsidP="00B80FFD">
            <w:pPr>
              <w:spacing w:line="276" w:lineRule="auto"/>
              <w:ind w:leftChars="-16" w:left="-38" w:rightChars="-25" w:right="-60"/>
              <w:jc w:val="both"/>
              <w:rPr>
                <w:rFonts w:eastAsia="標楷體"/>
              </w:rPr>
            </w:pPr>
            <w:r w:rsidRPr="00C223CC">
              <w:rPr>
                <w:rFonts w:eastAsia="標楷體"/>
              </w:rPr>
              <w:t xml:space="preserve"> </w:t>
            </w:r>
          </w:p>
        </w:tc>
      </w:tr>
      <w:tr w:rsidR="00B95F7A" w:rsidRPr="004628CE" w:rsidTr="006A1052">
        <w:trPr>
          <w:trHeight w:val="454"/>
        </w:trPr>
        <w:tc>
          <w:tcPr>
            <w:tcW w:w="3720" w:type="dxa"/>
            <w:vAlign w:val="center"/>
          </w:tcPr>
          <w:p w:rsidR="00B95F7A" w:rsidRPr="004628CE" w:rsidRDefault="00B95F7A" w:rsidP="00B95F7A">
            <w:pPr>
              <w:spacing w:line="276" w:lineRule="auto"/>
              <w:ind w:leftChars="-16" w:left="-38"/>
              <w:jc w:val="both"/>
              <w:rPr>
                <w:rFonts w:eastAsia="標楷體"/>
              </w:rPr>
            </w:pPr>
            <w:r w:rsidRPr="004628CE">
              <w:rPr>
                <w:rFonts w:eastAsia="標楷體"/>
              </w:rPr>
              <w:lastRenderedPageBreak/>
              <w:t>第三章、負債面</w:t>
            </w:r>
          </w:p>
        </w:tc>
        <w:tc>
          <w:tcPr>
            <w:tcW w:w="3720" w:type="dxa"/>
            <w:vAlign w:val="center"/>
          </w:tcPr>
          <w:p w:rsidR="00B95F7A" w:rsidRPr="004628CE" w:rsidRDefault="00B95F7A" w:rsidP="00B95F7A">
            <w:pPr>
              <w:spacing w:line="276" w:lineRule="auto"/>
              <w:ind w:leftChars="-16" w:left="-38"/>
              <w:jc w:val="both"/>
              <w:rPr>
                <w:rFonts w:eastAsia="標楷體"/>
              </w:rPr>
            </w:pPr>
            <w:r w:rsidRPr="004628CE">
              <w:rPr>
                <w:rFonts w:eastAsia="標楷體"/>
              </w:rPr>
              <w:t>第三章、負債面</w:t>
            </w:r>
          </w:p>
        </w:tc>
        <w:tc>
          <w:tcPr>
            <w:tcW w:w="1774" w:type="dxa"/>
            <w:vAlign w:val="center"/>
          </w:tcPr>
          <w:p w:rsidR="00B95F7A" w:rsidRPr="00A03692" w:rsidRDefault="00B95F7A" w:rsidP="00B95F7A">
            <w:pPr>
              <w:spacing w:line="276" w:lineRule="auto"/>
              <w:ind w:leftChars="-16" w:left="-38" w:rightChars="-25" w:right="-60"/>
              <w:jc w:val="both"/>
              <w:rPr>
                <w:rFonts w:eastAsia="標楷體"/>
              </w:rPr>
            </w:pPr>
          </w:p>
        </w:tc>
      </w:tr>
      <w:tr w:rsidR="00EC75B0" w:rsidRPr="004628CE" w:rsidTr="006A1052">
        <w:trPr>
          <w:trHeight w:val="1050"/>
        </w:trPr>
        <w:tc>
          <w:tcPr>
            <w:tcW w:w="3720" w:type="dxa"/>
          </w:tcPr>
          <w:p w:rsidR="00EC75B0" w:rsidRPr="004628CE" w:rsidRDefault="00EC75B0" w:rsidP="00EC75B0">
            <w:pPr>
              <w:spacing w:line="276" w:lineRule="auto"/>
              <w:ind w:left="612" w:rightChars="-30" w:right="-72" w:hangingChars="255" w:hanging="612"/>
              <w:jc w:val="both"/>
              <w:rPr>
                <w:rFonts w:eastAsia="標楷體"/>
              </w:rPr>
            </w:pPr>
            <w:r w:rsidRPr="004628CE">
              <w:rPr>
                <w:rFonts w:eastAsia="標楷體"/>
              </w:rPr>
              <w:t>十五、簽證精算人員應提供下列</w:t>
            </w:r>
            <w:proofErr w:type="gramStart"/>
            <w:r w:rsidRPr="004628CE">
              <w:rPr>
                <w:rFonts w:eastAsia="標楷體"/>
              </w:rPr>
              <w:t>各款精算</w:t>
            </w:r>
            <w:proofErr w:type="gramEnd"/>
            <w:r w:rsidRPr="004628CE">
              <w:rPr>
                <w:rFonts w:eastAsia="標楷體"/>
              </w:rPr>
              <w:t>假設之數值及其依據，且檢附在相同比較基礎下精算假設與過去實際經驗之對照表，並說明其合理性。</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proofErr w:type="gramStart"/>
            <w:r w:rsidRPr="004628CE">
              <w:rPr>
                <w:sz w:val="24"/>
                <w:szCs w:val="24"/>
              </w:rPr>
              <w:t>一</w:t>
            </w:r>
            <w:proofErr w:type="gramEnd"/>
            <w:r w:rsidRPr="004628CE">
              <w:rPr>
                <w:sz w:val="24"/>
                <w:szCs w:val="24"/>
              </w:rPr>
              <w:t>)</w:t>
            </w:r>
            <w:proofErr w:type="gramStart"/>
            <w:r w:rsidRPr="004628CE">
              <w:rPr>
                <w:kern w:val="0"/>
                <w:sz w:val="24"/>
                <w:szCs w:val="24"/>
              </w:rPr>
              <w:t>脫退率</w:t>
            </w:r>
            <w:proofErr w:type="gramEnd"/>
            <w:r w:rsidRPr="004628CE">
              <w:rPr>
                <w:kern w:val="0"/>
                <w:sz w:val="24"/>
                <w:szCs w:val="24"/>
              </w:rPr>
              <w:t>，實際經驗至少提供</w:t>
            </w:r>
            <w:r w:rsidRPr="004628CE">
              <w:rPr>
                <w:kern w:val="0"/>
                <w:sz w:val="24"/>
                <w:szCs w:val="24"/>
              </w:rPr>
              <w:t>3</w:t>
            </w:r>
            <w:r w:rsidRPr="004628CE">
              <w:rPr>
                <w:kern w:val="0"/>
                <w:sz w:val="24"/>
                <w:szCs w:val="24"/>
              </w:rPr>
              <w:t>年</w:t>
            </w:r>
            <w:r w:rsidRPr="004628CE">
              <w:rPr>
                <w:kern w:val="0"/>
                <w:sz w:val="24"/>
                <w:szCs w:val="24"/>
              </w:rPr>
              <w:t>(</w:t>
            </w:r>
            <w:r w:rsidRPr="004628CE">
              <w:rPr>
                <w:kern w:val="0"/>
                <w:sz w:val="24"/>
                <w:szCs w:val="24"/>
              </w:rPr>
              <w:t>含</w:t>
            </w:r>
            <w:r w:rsidRPr="004628CE">
              <w:rPr>
                <w:kern w:val="0"/>
                <w:sz w:val="24"/>
                <w:szCs w:val="24"/>
              </w:rPr>
              <w:t>)</w:t>
            </w:r>
            <w:r w:rsidRPr="004628CE">
              <w:rPr>
                <w:kern w:val="0"/>
                <w:sz w:val="24"/>
                <w:szCs w:val="24"/>
              </w:rPr>
              <w:t>以上觀察期間之各年度之數值與合計值。</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二</w:t>
            </w:r>
            <w:r w:rsidRPr="004628CE">
              <w:rPr>
                <w:sz w:val="24"/>
                <w:szCs w:val="24"/>
              </w:rPr>
              <w:t>)</w:t>
            </w:r>
            <w:r w:rsidRPr="004628CE">
              <w:rPr>
                <w:sz w:val="24"/>
                <w:szCs w:val="24"/>
              </w:rPr>
              <w:t>死亡率</w:t>
            </w:r>
            <w:r w:rsidRPr="004628CE">
              <w:rPr>
                <w:kern w:val="0"/>
                <w:sz w:val="24"/>
                <w:szCs w:val="24"/>
              </w:rPr>
              <w:t>，實際經驗提供足夠觀察期間合併後之</w:t>
            </w:r>
            <w:r w:rsidRPr="004628CE">
              <w:rPr>
                <w:kern w:val="0"/>
                <w:sz w:val="24"/>
                <w:szCs w:val="24"/>
              </w:rPr>
              <w:t>10</w:t>
            </w:r>
            <w:r w:rsidRPr="004628CE">
              <w:rPr>
                <w:kern w:val="0"/>
                <w:sz w:val="24"/>
                <w:szCs w:val="24"/>
              </w:rPr>
              <w:t>年</w:t>
            </w:r>
            <w:r w:rsidRPr="004628CE">
              <w:rPr>
                <w:kern w:val="0"/>
                <w:sz w:val="24"/>
                <w:szCs w:val="24"/>
              </w:rPr>
              <w:t>(</w:t>
            </w:r>
            <w:r w:rsidRPr="004628CE">
              <w:rPr>
                <w:kern w:val="0"/>
                <w:sz w:val="24"/>
                <w:szCs w:val="24"/>
              </w:rPr>
              <w:t>含</w:t>
            </w:r>
            <w:r w:rsidRPr="004628CE">
              <w:rPr>
                <w:kern w:val="0"/>
                <w:sz w:val="24"/>
                <w:szCs w:val="24"/>
              </w:rPr>
              <w:t>)</w:t>
            </w:r>
            <w:r w:rsidRPr="004628CE">
              <w:rPr>
                <w:kern w:val="0"/>
                <w:sz w:val="24"/>
                <w:szCs w:val="24"/>
              </w:rPr>
              <w:t>以上保單年度數值。</w:t>
            </w:r>
          </w:p>
          <w:p w:rsidR="00EC75B0" w:rsidRPr="004628CE" w:rsidRDefault="00EC75B0" w:rsidP="00EC75B0">
            <w:pPr>
              <w:pStyle w:val="af"/>
              <w:spacing w:line="276" w:lineRule="auto"/>
              <w:ind w:leftChars="250" w:left="1025" w:hangingChars="177" w:hanging="425"/>
              <w:jc w:val="both"/>
              <w:rPr>
                <w:kern w:val="0"/>
                <w:sz w:val="24"/>
                <w:szCs w:val="24"/>
              </w:rPr>
            </w:pPr>
            <w:r w:rsidRPr="004628CE">
              <w:rPr>
                <w:sz w:val="24"/>
                <w:szCs w:val="24"/>
              </w:rPr>
              <w:t>(</w:t>
            </w:r>
            <w:r w:rsidRPr="004628CE">
              <w:rPr>
                <w:sz w:val="24"/>
                <w:szCs w:val="24"/>
              </w:rPr>
              <w:t>三</w:t>
            </w:r>
            <w:r w:rsidRPr="004628CE">
              <w:rPr>
                <w:sz w:val="24"/>
                <w:szCs w:val="24"/>
              </w:rPr>
              <w:t>)</w:t>
            </w:r>
            <w:proofErr w:type="gramStart"/>
            <w:r w:rsidRPr="004628CE">
              <w:rPr>
                <w:kern w:val="0"/>
                <w:sz w:val="24"/>
                <w:szCs w:val="24"/>
              </w:rPr>
              <w:t>罹</w:t>
            </w:r>
            <w:proofErr w:type="gramEnd"/>
            <w:r w:rsidRPr="004628CE">
              <w:rPr>
                <w:kern w:val="0"/>
                <w:sz w:val="24"/>
                <w:szCs w:val="24"/>
              </w:rPr>
              <w:t>病率，實際經驗至少提供</w:t>
            </w:r>
            <w:r w:rsidRPr="004628CE">
              <w:rPr>
                <w:kern w:val="0"/>
                <w:sz w:val="24"/>
                <w:szCs w:val="24"/>
              </w:rPr>
              <w:t>10</w:t>
            </w:r>
            <w:r w:rsidRPr="004628CE">
              <w:rPr>
                <w:kern w:val="0"/>
                <w:sz w:val="24"/>
                <w:szCs w:val="24"/>
              </w:rPr>
              <w:t>年</w:t>
            </w:r>
            <w:r w:rsidRPr="004628CE">
              <w:rPr>
                <w:kern w:val="0"/>
                <w:sz w:val="24"/>
                <w:szCs w:val="24"/>
              </w:rPr>
              <w:t>(</w:t>
            </w:r>
            <w:r w:rsidRPr="004628CE">
              <w:rPr>
                <w:kern w:val="0"/>
                <w:sz w:val="24"/>
                <w:szCs w:val="24"/>
              </w:rPr>
              <w:t>含</w:t>
            </w:r>
            <w:r w:rsidRPr="004628CE">
              <w:rPr>
                <w:kern w:val="0"/>
                <w:sz w:val="24"/>
                <w:szCs w:val="24"/>
              </w:rPr>
              <w:t>)</w:t>
            </w:r>
            <w:r w:rsidRPr="004628CE">
              <w:rPr>
                <w:kern w:val="0"/>
                <w:sz w:val="24"/>
                <w:szCs w:val="24"/>
              </w:rPr>
              <w:t>以上觀察期間及保單年度之數值與合計值</w:t>
            </w:r>
            <w:r w:rsidRPr="004628CE">
              <w:rPr>
                <w:kern w:val="0"/>
                <w:sz w:val="24"/>
                <w:szCs w:val="24"/>
              </w:rPr>
              <w:t>(</w:t>
            </w:r>
            <w:r w:rsidRPr="004628CE">
              <w:rPr>
                <w:kern w:val="0"/>
                <w:sz w:val="24"/>
                <w:szCs w:val="24"/>
              </w:rPr>
              <w:t>含分子及分母之數值</w:t>
            </w:r>
            <w:r w:rsidRPr="004628CE">
              <w:rPr>
                <w:kern w:val="0"/>
                <w:sz w:val="24"/>
                <w:szCs w:val="24"/>
              </w:rPr>
              <w:t>)</w:t>
            </w:r>
            <w:r w:rsidRPr="004628CE">
              <w:rPr>
                <w:kern w:val="0"/>
                <w:sz w:val="24"/>
                <w:szCs w:val="24"/>
              </w:rPr>
              <w:t>。</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四</w:t>
            </w:r>
            <w:r w:rsidRPr="004628CE">
              <w:rPr>
                <w:sz w:val="24"/>
                <w:szCs w:val="24"/>
              </w:rPr>
              <w:t>)</w:t>
            </w:r>
            <w:r w:rsidRPr="004628CE">
              <w:rPr>
                <w:kern w:val="0"/>
                <w:sz w:val="24"/>
                <w:szCs w:val="24"/>
              </w:rPr>
              <w:t>費用（詳指定附表</w:t>
            </w:r>
            <w:r w:rsidRPr="004628CE">
              <w:rPr>
                <w:kern w:val="0"/>
                <w:sz w:val="24"/>
                <w:szCs w:val="24"/>
              </w:rPr>
              <w:t>14</w:t>
            </w:r>
            <w:r w:rsidRPr="004628CE">
              <w:rPr>
                <w:kern w:val="0"/>
                <w:sz w:val="24"/>
                <w:szCs w:val="24"/>
              </w:rPr>
              <w:t>）。</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五</w:t>
            </w:r>
            <w:r w:rsidRPr="004628CE">
              <w:rPr>
                <w:sz w:val="24"/>
                <w:szCs w:val="24"/>
              </w:rPr>
              <w:t>)</w:t>
            </w:r>
            <w:r w:rsidRPr="004628CE">
              <w:rPr>
                <w:sz w:val="24"/>
                <w:szCs w:val="24"/>
              </w:rPr>
              <w:t>分紅，包含強制分紅及自由分紅。</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六</w:t>
            </w:r>
            <w:r w:rsidRPr="004628CE">
              <w:rPr>
                <w:sz w:val="24"/>
                <w:szCs w:val="24"/>
              </w:rPr>
              <w:t>)</w:t>
            </w:r>
            <w:r w:rsidRPr="004628CE">
              <w:rPr>
                <w:sz w:val="24"/>
                <w:szCs w:val="24"/>
              </w:rPr>
              <w:t>其他</w:t>
            </w:r>
            <w:r w:rsidRPr="004628CE">
              <w:rPr>
                <w:kern w:val="0"/>
                <w:sz w:val="24"/>
                <w:szCs w:val="24"/>
              </w:rPr>
              <w:t>。</w:t>
            </w:r>
          </w:p>
          <w:p w:rsidR="008F5748" w:rsidRPr="004628CE" w:rsidRDefault="008F5748" w:rsidP="008F5748">
            <w:pPr>
              <w:tabs>
                <w:tab w:val="left" w:pos="979"/>
              </w:tabs>
              <w:spacing w:line="276" w:lineRule="auto"/>
              <w:ind w:leftChars="205" w:left="492"/>
              <w:jc w:val="both"/>
              <w:rPr>
                <w:rFonts w:eastAsia="標楷體"/>
                <w:snapToGrid w:val="0"/>
                <w:u w:val="single"/>
              </w:rPr>
            </w:pPr>
            <w:r w:rsidRPr="004628CE">
              <w:rPr>
                <w:rFonts w:eastAsia="標楷體" w:hint="eastAsia"/>
                <w:snapToGrid w:val="0"/>
                <w:u w:val="single"/>
              </w:rPr>
              <w:t>前項第一</w:t>
            </w:r>
            <w:proofErr w:type="gramStart"/>
            <w:r w:rsidRPr="004628CE">
              <w:rPr>
                <w:rFonts w:eastAsia="標楷體" w:hint="eastAsia"/>
                <w:snapToGrid w:val="0"/>
                <w:u w:val="single"/>
              </w:rPr>
              <w:t>款脫退率</w:t>
            </w:r>
            <w:proofErr w:type="gramEnd"/>
            <w:r w:rsidRPr="004628CE">
              <w:rPr>
                <w:rFonts w:eastAsia="標楷體" w:hint="eastAsia"/>
                <w:snapToGrid w:val="0"/>
                <w:u w:val="single"/>
              </w:rPr>
              <w:t>應分析保險商品因銷售方式導致保戶</w:t>
            </w:r>
            <w:proofErr w:type="gramStart"/>
            <w:r w:rsidRPr="004628CE">
              <w:rPr>
                <w:rFonts w:eastAsia="標楷體" w:hint="eastAsia"/>
                <w:snapToGrid w:val="0"/>
                <w:u w:val="single"/>
              </w:rPr>
              <w:t>之脫退行為</w:t>
            </w:r>
            <w:proofErr w:type="gramEnd"/>
            <w:r w:rsidRPr="004628CE">
              <w:rPr>
                <w:rFonts w:eastAsia="標楷體" w:hint="eastAsia"/>
                <w:snapToGrid w:val="0"/>
                <w:u w:val="single"/>
              </w:rPr>
              <w:t>，據此評估特定年度之</w:t>
            </w:r>
            <w:proofErr w:type="gramStart"/>
            <w:r w:rsidRPr="004628CE">
              <w:rPr>
                <w:rFonts w:eastAsia="標楷體" w:hint="eastAsia"/>
                <w:snapToGrid w:val="0"/>
                <w:u w:val="single"/>
              </w:rPr>
              <w:t>可能脫退情形</w:t>
            </w:r>
            <w:proofErr w:type="gramEnd"/>
            <w:r w:rsidRPr="004628CE">
              <w:rPr>
                <w:rFonts w:eastAsia="標楷體" w:hint="eastAsia"/>
                <w:snapToGrid w:val="0"/>
                <w:u w:val="single"/>
              </w:rPr>
              <w:t>，以訂定</w:t>
            </w:r>
            <w:proofErr w:type="gramStart"/>
            <w:r w:rsidRPr="004628CE">
              <w:rPr>
                <w:rFonts w:eastAsia="標楷體" w:hint="eastAsia"/>
                <w:snapToGrid w:val="0"/>
                <w:u w:val="single"/>
              </w:rPr>
              <w:t>最適脫退率</w:t>
            </w:r>
            <w:proofErr w:type="gramEnd"/>
            <w:r w:rsidRPr="004628CE">
              <w:rPr>
                <w:rFonts w:eastAsia="標楷體" w:hint="eastAsia"/>
                <w:snapToGrid w:val="0"/>
                <w:u w:val="single"/>
              </w:rPr>
              <w:t>假設，並應說明分析</w:t>
            </w:r>
            <w:r w:rsidRPr="004628CE">
              <w:rPr>
                <w:rFonts w:eastAsia="標楷體" w:hint="eastAsia"/>
                <w:snapToGrid w:val="0"/>
                <w:u w:val="single"/>
              </w:rPr>
              <w:lastRenderedPageBreak/>
              <w:t>方法及相關依據。</w:t>
            </w:r>
          </w:p>
          <w:p w:rsidR="00EC75B0" w:rsidRPr="004628CE" w:rsidRDefault="00841139" w:rsidP="00EC75B0">
            <w:pPr>
              <w:tabs>
                <w:tab w:val="left" w:pos="979"/>
              </w:tabs>
              <w:spacing w:line="276" w:lineRule="auto"/>
              <w:ind w:leftChars="205" w:left="492"/>
              <w:jc w:val="both"/>
              <w:rPr>
                <w:rFonts w:eastAsia="標楷體"/>
                <w:snapToGrid w:val="0"/>
              </w:rPr>
            </w:pPr>
            <w:r w:rsidRPr="00841139">
              <w:rPr>
                <w:rFonts w:eastAsia="標楷體" w:hint="eastAsia"/>
                <w:snapToGrid w:val="0"/>
                <w:u w:val="single"/>
              </w:rPr>
              <w:t>第一</w:t>
            </w:r>
            <w:r w:rsidR="00EC75B0" w:rsidRPr="00841139">
              <w:rPr>
                <w:rFonts w:eastAsia="標楷體"/>
                <w:snapToGrid w:val="0"/>
                <w:u w:val="single"/>
              </w:rPr>
              <w:t>項</w:t>
            </w:r>
            <w:r w:rsidR="00EC75B0" w:rsidRPr="004628CE">
              <w:rPr>
                <w:rFonts w:eastAsia="標楷體"/>
                <w:snapToGrid w:val="0"/>
              </w:rPr>
              <w:t>第二款死亡率及第三款</w:t>
            </w:r>
            <w:proofErr w:type="gramStart"/>
            <w:r w:rsidR="00EC75B0" w:rsidRPr="004628CE">
              <w:rPr>
                <w:rFonts w:eastAsia="標楷體"/>
                <w:snapToGrid w:val="0"/>
              </w:rPr>
              <w:t>罹</w:t>
            </w:r>
            <w:proofErr w:type="gramEnd"/>
            <w:r w:rsidR="00EC75B0" w:rsidRPr="004628CE">
              <w:rPr>
                <w:rFonts w:eastAsia="標楷體"/>
                <w:snapToGrid w:val="0"/>
              </w:rPr>
              <w:t>病率應考慮</w:t>
            </w:r>
            <w:r w:rsidR="00EC75B0" w:rsidRPr="004628CE">
              <w:rPr>
                <w:rFonts w:eastAsia="標楷體"/>
                <w:bCs/>
              </w:rPr>
              <w:t>檢選效果消失後之狀況，且在考慮未來發展趨勢時，應排除新契約檢選效果之影響，以訂定</w:t>
            </w:r>
            <w:proofErr w:type="gramStart"/>
            <w:r w:rsidR="00EC75B0" w:rsidRPr="004628CE">
              <w:rPr>
                <w:rFonts w:eastAsia="標楷體"/>
                <w:bCs/>
              </w:rPr>
              <w:t>最適精</w:t>
            </w:r>
            <w:proofErr w:type="gramEnd"/>
            <w:r w:rsidR="00EC75B0" w:rsidRPr="004628CE">
              <w:rPr>
                <w:rFonts w:eastAsia="標楷體"/>
                <w:bCs/>
              </w:rPr>
              <w:t>算假設</w:t>
            </w:r>
            <w:r w:rsidR="00EC75B0" w:rsidRPr="004628CE">
              <w:rPr>
                <w:rFonts w:eastAsia="標楷體"/>
                <w:snapToGrid w:val="0"/>
              </w:rPr>
              <w:t>，並應說明其評估方法及相關依據。</w:t>
            </w:r>
          </w:p>
          <w:p w:rsidR="00EC75B0" w:rsidRPr="004628CE" w:rsidRDefault="00EC75B0" w:rsidP="00EC75B0">
            <w:pPr>
              <w:tabs>
                <w:tab w:val="left" w:pos="979"/>
              </w:tabs>
              <w:spacing w:line="276" w:lineRule="auto"/>
              <w:ind w:leftChars="205" w:left="492" w:rightChars="-30" w:right="-72"/>
              <w:jc w:val="both"/>
              <w:rPr>
                <w:rFonts w:eastAsia="標楷體"/>
                <w:u w:val="single"/>
              </w:rPr>
            </w:pPr>
            <w:r w:rsidRPr="004628CE">
              <w:rPr>
                <w:rFonts w:eastAsia="標楷體"/>
                <w:snapToGrid w:val="0"/>
              </w:rPr>
              <w:t>如因銷售期間不足第一項第一款至第三款規定之年數者，則應提供最長之統計期間。</w:t>
            </w:r>
          </w:p>
        </w:tc>
        <w:tc>
          <w:tcPr>
            <w:tcW w:w="3720" w:type="dxa"/>
          </w:tcPr>
          <w:p w:rsidR="00EC75B0" w:rsidRPr="004628CE" w:rsidRDefault="00EC75B0" w:rsidP="00EC75B0">
            <w:pPr>
              <w:spacing w:line="276" w:lineRule="auto"/>
              <w:ind w:left="612" w:rightChars="-30" w:right="-72" w:hangingChars="255" w:hanging="612"/>
              <w:jc w:val="both"/>
              <w:rPr>
                <w:rFonts w:eastAsia="標楷體"/>
              </w:rPr>
            </w:pPr>
            <w:r w:rsidRPr="004628CE">
              <w:rPr>
                <w:rFonts w:eastAsia="標楷體"/>
              </w:rPr>
              <w:lastRenderedPageBreak/>
              <w:t>十五、簽證精算人員應提供下列</w:t>
            </w:r>
            <w:proofErr w:type="gramStart"/>
            <w:r w:rsidRPr="004628CE">
              <w:rPr>
                <w:rFonts w:eastAsia="標楷體"/>
              </w:rPr>
              <w:t>各款精算</w:t>
            </w:r>
            <w:proofErr w:type="gramEnd"/>
            <w:r w:rsidRPr="004628CE">
              <w:rPr>
                <w:rFonts w:eastAsia="標楷體"/>
              </w:rPr>
              <w:t>假設之數值及其依據，且檢附在相同比較基礎下精算假設與過去實際經驗之對照表，並說明其合理性。</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proofErr w:type="gramStart"/>
            <w:r w:rsidRPr="004628CE">
              <w:rPr>
                <w:sz w:val="24"/>
                <w:szCs w:val="24"/>
              </w:rPr>
              <w:t>一</w:t>
            </w:r>
            <w:proofErr w:type="gramEnd"/>
            <w:r w:rsidRPr="004628CE">
              <w:rPr>
                <w:sz w:val="24"/>
                <w:szCs w:val="24"/>
              </w:rPr>
              <w:t>)</w:t>
            </w:r>
            <w:proofErr w:type="gramStart"/>
            <w:r w:rsidRPr="004628CE">
              <w:rPr>
                <w:kern w:val="0"/>
                <w:sz w:val="24"/>
                <w:szCs w:val="24"/>
              </w:rPr>
              <w:t>脫退率</w:t>
            </w:r>
            <w:proofErr w:type="gramEnd"/>
            <w:r w:rsidRPr="004628CE">
              <w:rPr>
                <w:kern w:val="0"/>
                <w:sz w:val="24"/>
                <w:szCs w:val="24"/>
              </w:rPr>
              <w:t>，實際經驗至少提供</w:t>
            </w:r>
            <w:r w:rsidRPr="004628CE">
              <w:rPr>
                <w:kern w:val="0"/>
                <w:sz w:val="24"/>
                <w:szCs w:val="24"/>
              </w:rPr>
              <w:t>3</w:t>
            </w:r>
            <w:r w:rsidRPr="004628CE">
              <w:rPr>
                <w:kern w:val="0"/>
                <w:sz w:val="24"/>
                <w:szCs w:val="24"/>
              </w:rPr>
              <w:t>年</w:t>
            </w:r>
            <w:r w:rsidRPr="004628CE">
              <w:rPr>
                <w:kern w:val="0"/>
                <w:sz w:val="24"/>
                <w:szCs w:val="24"/>
              </w:rPr>
              <w:t>(</w:t>
            </w:r>
            <w:r w:rsidRPr="004628CE">
              <w:rPr>
                <w:kern w:val="0"/>
                <w:sz w:val="24"/>
                <w:szCs w:val="24"/>
              </w:rPr>
              <w:t>含</w:t>
            </w:r>
            <w:r w:rsidRPr="004628CE">
              <w:rPr>
                <w:kern w:val="0"/>
                <w:sz w:val="24"/>
                <w:szCs w:val="24"/>
              </w:rPr>
              <w:t>)</w:t>
            </w:r>
            <w:r w:rsidRPr="004628CE">
              <w:rPr>
                <w:kern w:val="0"/>
                <w:sz w:val="24"/>
                <w:szCs w:val="24"/>
              </w:rPr>
              <w:t>以上觀察期間之各年度之數值與合計值。</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二</w:t>
            </w:r>
            <w:r w:rsidRPr="004628CE">
              <w:rPr>
                <w:sz w:val="24"/>
                <w:szCs w:val="24"/>
              </w:rPr>
              <w:t>)</w:t>
            </w:r>
            <w:r w:rsidRPr="004628CE">
              <w:rPr>
                <w:sz w:val="24"/>
                <w:szCs w:val="24"/>
              </w:rPr>
              <w:t>死亡率</w:t>
            </w:r>
            <w:r w:rsidRPr="004628CE">
              <w:rPr>
                <w:kern w:val="0"/>
                <w:sz w:val="24"/>
                <w:szCs w:val="24"/>
              </w:rPr>
              <w:t>，實際經驗提供足夠觀察期間合併後之</w:t>
            </w:r>
            <w:r w:rsidRPr="004628CE">
              <w:rPr>
                <w:kern w:val="0"/>
                <w:sz w:val="24"/>
                <w:szCs w:val="24"/>
              </w:rPr>
              <w:t>10</w:t>
            </w:r>
            <w:r w:rsidRPr="004628CE">
              <w:rPr>
                <w:kern w:val="0"/>
                <w:sz w:val="24"/>
                <w:szCs w:val="24"/>
              </w:rPr>
              <w:t>年</w:t>
            </w:r>
            <w:r w:rsidRPr="004628CE">
              <w:rPr>
                <w:kern w:val="0"/>
                <w:sz w:val="24"/>
                <w:szCs w:val="24"/>
              </w:rPr>
              <w:t>(</w:t>
            </w:r>
            <w:r w:rsidRPr="004628CE">
              <w:rPr>
                <w:kern w:val="0"/>
                <w:sz w:val="24"/>
                <w:szCs w:val="24"/>
              </w:rPr>
              <w:t>含</w:t>
            </w:r>
            <w:r w:rsidRPr="004628CE">
              <w:rPr>
                <w:kern w:val="0"/>
                <w:sz w:val="24"/>
                <w:szCs w:val="24"/>
              </w:rPr>
              <w:t>)</w:t>
            </w:r>
            <w:r w:rsidRPr="004628CE">
              <w:rPr>
                <w:kern w:val="0"/>
                <w:sz w:val="24"/>
                <w:szCs w:val="24"/>
              </w:rPr>
              <w:t>以上保單年度數值。</w:t>
            </w:r>
          </w:p>
          <w:p w:rsidR="00EC75B0" w:rsidRPr="004628CE" w:rsidRDefault="00EC75B0" w:rsidP="00EC75B0">
            <w:pPr>
              <w:pStyle w:val="af"/>
              <w:spacing w:line="276" w:lineRule="auto"/>
              <w:ind w:leftChars="250" w:left="1025" w:hangingChars="177" w:hanging="425"/>
              <w:jc w:val="both"/>
              <w:rPr>
                <w:kern w:val="0"/>
                <w:sz w:val="24"/>
                <w:szCs w:val="24"/>
              </w:rPr>
            </w:pPr>
            <w:r w:rsidRPr="004628CE">
              <w:rPr>
                <w:sz w:val="24"/>
                <w:szCs w:val="24"/>
              </w:rPr>
              <w:t>(</w:t>
            </w:r>
            <w:r w:rsidRPr="004628CE">
              <w:rPr>
                <w:sz w:val="24"/>
                <w:szCs w:val="24"/>
              </w:rPr>
              <w:t>三</w:t>
            </w:r>
            <w:r w:rsidRPr="004628CE">
              <w:rPr>
                <w:sz w:val="24"/>
                <w:szCs w:val="24"/>
              </w:rPr>
              <w:t>)</w:t>
            </w:r>
            <w:proofErr w:type="gramStart"/>
            <w:r w:rsidRPr="004628CE">
              <w:rPr>
                <w:kern w:val="0"/>
                <w:sz w:val="24"/>
                <w:szCs w:val="24"/>
              </w:rPr>
              <w:t>罹</w:t>
            </w:r>
            <w:proofErr w:type="gramEnd"/>
            <w:r w:rsidRPr="004628CE">
              <w:rPr>
                <w:kern w:val="0"/>
                <w:sz w:val="24"/>
                <w:szCs w:val="24"/>
              </w:rPr>
              <w:t>病率，實際經驗至少提供</w:t>
            </w:r>
            <w:r w:rsidRPr="004628CE">
              <w:rPr>
                <w:kern w:val="0"/>
                <w:sz w:val="24"/>
                <w:szCs w:val="24"/>
              </w:rPr>
              <w:t>10</w:t>
            </w:r>
            <w:r w:rsidRPr="004628CE">
              <w:rPr>
                <w:kern w:val="0"/>
                <w:sz w:val="24"/>
                <w:szCs w:val="24"/>
              </w:rPr>
              <w:t>年</w:t>
            </w:r>
            <w:r w:rsidRPr="004628CE">
              <w:rPr>
                <w:kern w:val="0"/>
                <w:sz w:val="24"/>
                <w:szCs w:val="24"/>
              </w:rPr>
              <w:t>(</w:t>
            </w:r>
            <w:r w:rsidRPr="004628CE">
              <w:rPr>
                <w:kern w:val="0"/>
                <w:sz w:val="24"/>
                <w:szCs w:val="24"/>
              </w:rPr>
              <w:t>含</w:t>
            </w:r>
            <w:r w:rsidRPr="004628CE">
              <w:rPr>
                <w:kern w:val="0"/>
                <w:sz w:val="24"/>
                <w:szCs w:val="24"/>
              </w:rPr>
              <w:t>)</w:t>
            </w:r>
            <w:r w:rsidRPr="004628CE">
              <w:rPr>
                <w:kern w:val="0"/>
                <w:sz w:val="24"/>
                <w:szCs w:val="24"/>
              </w:rPr>
              <w:t>以上觀察期間及保單年度之數值與合計值</w:t>
            </w:r>
            <w:r w:rsidRPr="004628CE">
              <w:rPr>
                <w:kern w:val="0"/>
                <w:sz w:val="24"/>
                <w:szCs w:val="24"/>
              </w:rPr>
              <w:t>(</w:t>
            </w:r>
            <w:r w:rsidRPr="004628CE">
              <w:rPr>
                <w:kern w:val="0"/>
                <w:sz w:val="24"/>
                <w:szCs w:val="24"/>
              </w:rPr>
              <w:t>含分子及分母之數值</w:t>
            </w:r>
            <w:r w:rsidRPr="004628CE">
              <w:rPr>
                <w:kern w:val="0"/>
                <w:sz w:val="24"/>
                <w:szCs w:val="24"/>
              </w:rPr>
              <w:t>)</w:t>
            </w:r>
            <w:r w:rsidRPr="004628CE">
              <w:rPr>
                <w:kern w:val="0"/>
                <w:sz w:val="24"/>
                <w:szCs w:val="24"/>
              </w:rPr>
              <w:t>。</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四</w:t>
            </w:r>
            <w:r w:rsidRPr="004628CE">
              <w:rPr>
                <w:sz w:val="24"/>
                <w:szCs w:val="24"/>
              </w:rPr>
              <w:t>)</w:t>
            </w:r>
            <w:r w:rsidRPr="004628CE">
              <w:rPr>
                <w:kern w:val="0"/>
                <w:sz w:val="24"/>
                <w:szCs w:val="24"/>
              </w:rPr>
              <w:t>費用（詳指定附表</w:t>
            </w:r>
            <w:r w:rsidRPr="004628CE">
              <w:rPr>
                <w:kern w:val="0"/>
                <w:sz w:val="24"/>
                <w:szCs w:val="24"/>
              </w:rPr>
              <w:t>14</w:t>
            </w:r>
            <w:r w:rsidRPr="004628CE">
              <w:rPr>
                <w:kern w:val="0"/>
                <w:sz w:val="24"/>
                <w:szCs w:val="24"/>
              </w:rPr>
              <w:t>）。</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五</w:t>
            </w:r>
            <w:r w:rsidRPr="004628CE">
              <w:rPr>
                <w:sz w:val="24"/>
                <w:szCs w:val="24"/>
              </w:rPr>
              <w:t>)</w:t>
            </w:r>
            <w:r w:rsidRPr="004628CE">
              <w:rPr>
                <w:sz w:val="24"/>
                <w:szCs w:val="24"/>
              </w:rPr>
              <w:t>分紅，包含強制分紅及自由分紅。</w:t>
            </w:r>
          </w:p>
          <w:p w:rsidR="00EC75B0" w:rsidRPr="004628CE" w:rsidRDefault="00EC75B0" w:rsidP="00EC75B0">
            <w:pPr>
              <w:pStyle w:val="af"/>
              <w:spacing w:line="276" w:lineRule="auto"/>
              <w:ind w:leftChars="249" w:left="1023" w:hangingChars="177" w:hanging="425"/>
              <w:jc w:val="both"/>
              <w:rPr>
                <w:kern w:val="0"/>
                <w:sz w:val="24"/>
                <w:szCs w:val="24"/>
              </w:rPr>
            </w:pPr>
            <w:r w:rsidRPr="004628CE">
              <w:rPr>
                <w:sz w:val="24"/>
                <w:szCs w:val="24"/>
              </w:rPr>
              <w:t>(</w:t>
            </w:r>
            <w:r w:rsidRPr="004628CE">
              <w:rPr>
                <w:sz w:val="24"/>
                <w:szCs w:val="24"/>
              </w:rPr>
              <w:t>六</w:t>
            </w:r>
            <w:r w:rsidRPr="004628CE">
              <w:rPr>
                <w:sz w:val="24"/>
                <w:szCs w:val="24"/>
              </w:rPr>
              <w:t>)</w:t>
            </w:r>
            <w:r w:rsidRPr="004628CE">
              <w:rPr>
                <w:sz w:val="24"/>
                <w:szCs w:val="24"/>
              </w:rPr>
              <w:t>其他</w:t>
            </w:r>
            <w:r w:rsidRPr="004628CE">
              <w:rPr>
                <w:kern w:val="0"/>
                <w:sz w:val="24"/>
                <w:szCs w:val="24"/>
              </w:rPr>
              <w:t>。</w:t>
            </w:r>
          </w:p>
          <w:p w:rsidR="00E67311" w:rsidRPr="004628CE" w:rsidRDefault="00E67311" w:rsidP="00EC75B0">
            <w:pPr>
              <w:tabs>
                <w:tab w:val="left" w:pos="979"/>
              </w:tabs>
              <w:spacing w:line="276" w:lineRule="auto"/>
              <w:ind w:leftChars="205" w:left="492"/>
              <w:jc w:val="both"/>
              <w:rPr>
                <w:rFonts w:eastAsia="標楷體"/>
                <w:snapToGrid w:val="0"/>
              </w:rPr>
            </w:pPr>
          </w:p>
          <w:p w:rsidR="00E67311" w:rsidRPr="004628CE" w:rsidRDefault="00E67311" w:rsidP="00EC75B0">
            <w:pPr>
              <w:tabs>
                <w:tab w:val="left" w:pos="979"/>
              </w:tabs>
              <w:spacing w:line="276" w:lineRule="auto"/>
              <w:ind w:leftChars="205" w:left="492"/>
              <w:jc w:val="both"/>
              <w:rPr>
                <w:rFonts w:eastAsia="標楷體"/>
                <w:snapToGrid w:val="0"/>
              </w:rPr>
            </w:pPr>
          </w:p>
          <w:p w:rsidR="00E67311" w:rsidRPr="004628CE" w:rsidRDefault="00E67311" w:rsidP="00EC75B0">
            <w:pPr>
              <w:tabs>
                <w:tab w:val="left" w:pos="979"/>
              </w:tabs>
              <w:spacing w:line="276" w:lineRule="auto"/>
              <w:ind w:leftChars="205" w:left="492"/>
              <w:jc w:val="both"/>
              <w:rPr>
                <w:rFonts w:eastAsia="標楷體"/>
                <w:snapToGrid w:val="0"/>
              </w:rPr>
            </w:pPr>
          </w:p>
          <w:p w:rsidR="00E67311" w:rsidRPr="004628CE" w:rsidRDefault="00E67311" w:rsidP="00EC75B0">
            <w:pPr>
              <w:tabs>
                <w:tab w:val="left" w:pos="979"/>
              </w:tabs>
              <w:spacing w:line="276" w:lineRule="auto"/>
              <w:ind w:leftChars="205" w:left="492"/>
              <w:jc w:val="both"/>
              <w:rPr>
                <w:rFonts w:eastAsia="標楷體"/>
                <w:snapToGrid w:val="0"/>
              </w:rPr>
            </w:pPr>
          </w:p>
          <w:p w:rsidR="00E67311" w:rsidRPr="004628CE" w:rsidRDefault="00E67311" w:rsidP="00EC75B0">
            <w:pPr>
              <w:tabs>
                <w:tab w:val="left" w:pos="979"/>
              </w:tabs>
              <w:spacing w:line="276" w:lineRule="auto"/>
              <w:ind w:leftChars="205" w:left="492"/>
              <w:jc w:val="both"/>
              <w:rPr>
                <w:rFonts w:eastAsia="標楷體"/>
                <w:snapToGrid w:val="0"/>
              </w:rPr>
            </w:pPr>
          </w:p>
          <w:p w:rsidR="00E67311" w:rsidRPr="004628CE" w:rsidRDefault="00E67311" w:rsidP="00EC75B0">
            <w:pPr>
              <w:tabs>
                <w:tab w:val="left" w:pos="979"/>
              </w:tabs>
              <w:spacing w:line="276" w:lineRule="auto"/>
              <w:ind w:leftChars="205" w:left="492"/>
              <w:jc w:val="both"/>
              <w:rPr>
                <w:rFonts w:eastAsia="標楷體"/>
                <w:snapToGrid w:val="0"/>
              </w:rPr>
            </w:pPr>
          </w:p>
          <w:p w:rsidR="00EC75B0" w:rsidRPr="004628CE" w:rsidRDefault="00EC75B0" w:rsidP="00EC75B0">
            <w:pPr>
              <w:tabs>
                <w:tab w:val="left" w:pos="979"/>
              </w:tabs>
              <w:spacing w:line="276" w:lineRule="auto"/>
              <w:ind w:leftChars="205" w:left="492"/>
              <w:jc w:val="both"/>
              <w:rPr>
                <w:rFonts w:eastAsia="標楷體"/>
                <w:snapToGrid w:val="0"/>
              </w:rPr>
            </w:pPr>
            <w:r w:rsidRPr="00841139">
              <w:rPr>
                <w:rFonts w:eastAsia="標楷體"/>
                <w:snapToGrid w:val="0"/>
                <w:u w:val="single"/>
              </w:rPr>
              <w:t>前項</w:t>
            </w:r>
            <w:r w:rsidRPr="004628CE">
              <w:rPr>
                <w:rFonts w:eastAsia="標楷體"/>
                <w:snapToGrid w:val="0"/>
              </w:rPr>
              <w:t>第二款死亡率及第三款</w:t>
            </w:r>
            <w:proofErr w:type="gramStart"/>
            <w:r w:rsidRPr="004628CE">
              <w:rPr>
                <w:rFonts w:eastAsia="標楷體"/>
                <w:snapToGrid w:val="0"/>
              </w:rPr>
              <w:t>罹</w:t>
            </w:r>
            <w:proofErr w:type="gramEnd"/>
            <w:r w:rsidRPr="004628CE">
              <w:rPr>
                <w:rFonts w:eastAsia="標楷體"/>
                <w:snapToGrid w:val="0"/>
              </w:rPr>
              <w:t>病率應考慮</w:t>
            </w:r>
            <w:r w:rsidRPr="004628CE">
              <w:rPr>
                <w:rFonts w:eastAsia="標楷體"/>
                <w:bCs/>
              </w:rPr>
              <w:t>檢選效果消失後之狀況，且在考慮未來發展趨勢時，應排除新契約檢選效果之影響，以訂定</w:t>
            </w:r>
            <w:proofErr w:type="gramStart"/>
            <w:r w:rsidRPr="004628CE">
              <w:rPr>
                <w:rFonts w:eastAsia="標楷體"/>
                <w:bCs/>
              </w:rPr>
              <w:t>最適精</w:t>
            </w:r>
            <w:proofErr w:type="gramEnd"/>
            <w:r w:rsidRPr="004628CE">
              <w:rPr>
                <w:rFonts w:eastAsia="標楷體"/>
                <w:bCs/>
              </w:rPr>
              <w:t>算假設</w:t>
            </w:r>
            <w:r w:rsidRPr="004628CE">
              <w:rPr>
                <w:rFonts w:eastAsia="標楷體"/>
                <w:snapToGrid w:val="0"/>
              </w:rPr>
              <w:t>，並應說明其評估方法及相關依據。</w:t>
            </w:r>
          </w:p>
          <w:p w:rsidR="00EC75B0" w:rsidRPr="004628CE" w:rsidRDefault="00EC75B0" w:rsidP="00EC75B0">
            <w:pPr>
              <w:tabs>
                <w:tab w:val="left" w:pos="979"/>
              </w:tabs>
              <w:spacing w:line="276" w:lineRule="auto"/>
              <w:ind w:leftChars="205" w:left="492" w:rightChars="-30" w:right="-72"/>
              <w:jc w:val="both"/>
              <w:rPr>
                <w:rFonts w:eastAsia="標楷體"/>
                <w:u w:val="single"/>
              </w:rPr>
            </w:pPr>
            <w:r w:rsidRPr="004628CE">
              <w:rPr>
                <w:rFonts w:eastAsia="標楷體"/>
                <w:snapToGrid w:val="0"/>
              </w:rPr>
              <w:t>如因銷售期間不足第一項第一款至第三款規定之年數者，則應提供最長之統計期間。</w:t>
            </w:r>
          </w:p>
        </w:tc>
        <w:tc>
          <w:tcPr>
            <w:tcW w:w="1774" w:type="dxa"/>
          </w:tcPr>
          <w:p w:rsidR="00EC75B0" w:rsidRDefault="00CB15FC" w:rsidP="00841139">
            <w:pPr>
              <w:numPr>
                <w:ilvl w:val="0"/>
                <w:numId w:val="107"/>
              </w:numPr>
              <w:spacing w:line="276" w:lineRule="auto"/>
              <w:ind w:left="107" w:rightChars="-25" w:right="-60" w:hanging="197"/>
              <w:jc w:val="both"/>
              <w:rPr>
                <w:rFonts w:eastAsia="標楷體"/>
              </w:rPr>
            </w:pPr>
            <w:r w:rsidRPr="00C223CC">
              <w:rPr>
                <w:rFonts w:eastAsia="標楷體"/>
              </w:rPr>
              <w:lastRenderedPageBreak/>
              <w:t>考量部分利率變動型壽險或其他類型商品之銷售行為可能</w:t>
            </w:r>
            <w:proofErr w:type="gramStart"/>
            <w:r w:rsidRPr="00C223CC">
              <w:rPr>
                <w:rFonts w:eastAsia="標楷體"/>
              </w:rPr>
              <w:t>以類定存</w:t>
            </w:r>
            <w:proofErr w:type="gramEnd"/>
            <w:r w:rsidRPr="00C223CC">
              <w:rPr>
                <w:rFonts w:eastAsia="標楷體"/>
              </w:rPr>
              <w:t>為訴求重點，為能確實反映公司之未來年度負債面現金流量，</w:t>
            </w:r>
            <w:proofErr w:type="gramStart"/>
            <w:r w:rsidRPr="00C223CC">
              <w:rPr>
                <w:rFonts w:eastAsia="標楷體" w:hint="eastAsia"/>
              </w:rPr>
              <w:t>爰</w:t>
            </w:r>
            <w:proofErr w:type="gramEnd"/>
            <w:r w:rsidRPr="00C223CC">
              <w:rPr>
                <w:rFonts w:eastAsia="標楷體"/>
              </w:rPr>
              <w:t>增列</w:t>
            </w:r>
            <w:r w:rsidRPr="00C223CC">
              <w:rPr>
                <w:rFonts w:eastAsia="標楷體" w:hint="eastAsia"/>
              </w:rPr>
              <w:t>第二項要求</w:t>
            </w:r>
            <w:r w:rsidR="001700C0" w:rsidRPr="00C223CC">
              <w:rPr>
                <w:rFonts w:eastAsia="標楷體" w:hint="eastAsia"/>
              </w:rPr>
              <w:t>擬定</w:t>
            </w:r>
            <w:proofErr w:type="gramStart"/>
            <w:r w:rsidR="001700C0" w:rsidRPr="00C223CC">
              <w:rPr>
                <w:rFonts w:eastAsia="標楷體" w:hint="eastAsia"/>
              </w:rPr>
              <w:t>脫退率</w:t>
            </w:r>
            <w:proofErr w:type="gramEnd"/>
            <w:r w:rsidR="001700C0" w:rsidRPr="00A03692">
              <w:rPr>
                <w:rFonts w:eastAsia="標楷體" w:hint="eastAsia"/>
              </w:rPr>
              <w:t>假設應考量各商品銷售</w:t>
            </w:r>
            <w:r w:rsidR="000560A9" w:rsidRPr="00A03692">
              <w:rPr>
                <w:rFonts w:eastAsia="標楷體" w:hint="eastAsia"/>
              </w:rPr>
              <w:t>方式</w:t>
            </w:r>
            <w:r w:rsidR="001700C0" w:rsidRPr="00A03692">
              <w:rPr>
                <w:rFonts w:eastAsia="標楷體" w:hint="eastAsia"/>
              </w:rPr>
              <w:t>。</w:t>
            </w:r>
          </w:p>
          <w:p w:rsidR="00841139" w:rsidRPr="00A03692" w:rsidRDefault="00841139" w:rsidP="00841139">
            <w:pPr>
              <w:numPr>
                <w:ilvl w:val="0"/>
                <w:numId w:val="107"/>
              </w:numPr>
              <w:spacing w:line="276" w:lineRule="auto"/>
              <w:ind w:left="107" w:rightChars="-25" w:right="-60" w:hanging="197"/>
              <w:jc w:val="both"/>
              <w:rPr>
                <w:rFonts w:eastAsia="標楷體"/>
              </w:rPr>
            </w:pPr>
            <w:r>
              <w:rPr>
                <w:rFonts w:eastAsia="標楷體" w:hint="eastAsia"/>
              </w:rPr>
              <w:t>配合第二項之增列，將第三項所稱</w:t>
            </w:r>
            <w:r>
              <w:rPr>
                <w:rFonts w:ascii="標楷體" w:eastAsia="標楷體" w:hAnsi="標楷體" w:hint="eastAsia"/>
              </w:rPr>
              <w:t>「前項」修正為「第一項」。</w:t>
            </w:r>
          </w:p>
        </w:tc>
      </w:tr>
      <w:tr w:rsidR="00343899" w:rsidRPr="004628CE" w:rsidTr="006A1052">
        <w:tc>
          <w:tcPr>
            <w:tcW w:w="3720" w:type="dxa"/>
          </w:tcPr>
          <w:p w:rsidR="00343899" w:rsidRPr="004628CE" w:rsidRDefault="00343899" w:rsidP="00343899">
            <w:pPr>
              <w:spacing w:line="276" w:lineRule="auto"/>
              <w:ind w:left="492" w:hangingChars="205" w:hanging="492"/>
              <w:jc w:val="both"/>
              <w:rPr>
                <w:rFonts w:eastAsia="標楷體"/>
              </w:rPr>
            </w:pPr>
            <w:r w:rsidRPr="004628CE">
              <w:rPr>
                <w:rFonts w:eastAsia="標楷體" w:hint="eastAsia"/>
              </w:rPr>
              <w:lastRenderedPageBreak/>
              <w:t>十九、</w:t>
            </w:r>
            <w:r w:rsidRPr="004628CE">
              <w:rPr>
                <w:rFonts w:eastAsia="標楷體"/>
              </w:rPr>
              <w:t>簽證精算人員</w:t>
            </w:r>
            <w:proofErr w:type="gramStart"/>
            <w:r w:rsidRPr="004628CE">
              <w:rPr>
                <w:rFonts w:eastAsia="標楷體"/>
              </w:rPr>
              <w:t>應檢附當年度</w:t>
            </w:r>
            <w:proofErr w:type="gramEnd"/>
            <w:r w:rsidRPr="004628CE">
              <w:rPr>
                <w:rFonts w:eastAsia="標楷體"/>
              </w:rPr>
              <w:t>與上年度之負債面假設對照表，除說明所採用之精算軟體外，至少應包括</w:t>
            </w:r>
            <w:proofErr w:type="gramStart"/>
            <w:r w:rsidRPr="004628CE">
              <w:rPr>
                <w:rFonts w:eastAsia="標楷體"/>
              </w:rPr>
              <w:t>脫退率</w:t>
            </w:r>
            <w:proofErr w:type="gramEnd"/>
            <w:r w:rsidRPr="004628CE">
              <w:rPr>
                <w:rFonts w:eastAsia="標楷體"/>
              </w:rPr>
              <w:t>、死亡率、</w:t>
            </w:r>
            <w:proofErr w:type="gramStart"/>
            <w:r w:rsidRPr="004628CE">
              <w:rPr>
                <w:rFonts w:eastAsia="標楷體"/>
              </w:rPr>
              <w:t>罹</w:t>
            </w:r>
            <w:proofErr w:type="gramEnd"/>
            <w:r w:rsidRPr="004628CE">
              <w:rPr>
                <w:rFonts w:eastAsia="標楷體"/>
              </w:rPr>
              <w:t>病率、費用及分紅</w:t>
            </w:r>
            <w:r w:rsidRPr="004628CE">
              <w:rPr>
                <w:rFonts w:eastAsia="標楷體" w:hint="eastAsia"/>
              </w:rPr>
              <w:t>(</w:t>
            </w:r>
            <w:r w:rsidRPr="004628CE">
              <w:rPr>
                <w:rFonts w:eastAsia="標楷體"/>
              </w:rPr>
              <w:t>包含強制分紅及自由分紅</w:t>
            </w:r>
            <w:r w:rsidRPr="004628CE">
              <w:rPr>
                <w:rFonts w:eastAsia="標楷體" w:hint="eastAsia"/>
              </w:rPr>
              <w:t>)</w:t>
            </w:r>
            <w:r w:rsidRPr="004628CE">
              <w:rPr>
                <w:rFonts w:eastAsia="標楷體"/>
              </w:rPr>
              <w:t>等負債面假設。若假設完全相同者，應說明其適當性；若有不一致者，應說明其原因及影響是否顯著。如有顯著影響，應以量化方式評估其影響程度</w:t>
            </w:r>
            <w:r w:rsidRPr="004628CE">
              <w:rPr>
                <w:rFonts w:eastAsia="標楷體" w:hint="eastAsia"/>
              </w:rPr>
              <w:t>(</w:t>
            </w:r>
            <w:r w:rsidRPr="004628CE">
              <w:rPr>
                <w:rFonts w:eastAsia="標楷體" w:hint="eastAsia"/>
              </w:rPr>
              <w:t>準備金適足性測試之變動</w:t>
            </w:r>
            <w:proofErr w:type="gramStart"/>
            <w:r w:rsidRPr="004628CE">
              <w:rPr>
                <w:rFonts w:eastAsia="標楷體" w:hint="eastAsia"/>
              </w:rPr>
              <w:t>分析表詳指定</w:t>
            </w:r>
            <w:proofErr w:type="gramEnd"/>
            <w:r w:rsidRPr="004628CE">
              <w:rPr>
                <w:rFonts w:eastAsia="標楷體" w:hint="eastAsia"/>
              </w:rPr>
              <w:t>附表</w:t>
            </w:r>
            <w:r w:rsidRPr="004628CE">
              <w:rPr>
                <w:rFonts w:eastAsia="標楷體" w:hint="eastAsia"/>
              </w:rPr>
              <w:t>15)</w:t>
            </w:r>
            <w:r w:rsidRPr="004628CE">
              <w:rPr>
                <w:rFonts w:eastAsia="標楷體"/>
              </w:rPr>
              <w:t>。</w:t>
            </w:r>
          </w:p>
          <w:p w:rsidR="00343899" w:rsidRPr="004628CE" w:rsidRDefault="00343899" w:rsidP="00343899">
            <w:pPr>
              <w:spacing w:line="276" w:lineRule="auto"/>
              <w:ind w:leftChars="205" w:left="492" w:firstLineChars="2" w:firstLine="5"/>
              <w:jc w:val="both"/>
              <w:rPr>
                <w:rFonts w:eastAsia="標楷體"/>
              </w:rPr>
            </w:pPr>
            <w:r w:rsidRPr="004628CE">
              <w:rPr>
                <w:rFonts w:eastAsia="標楷體"/>
              </w:rPr>
              <w:t>除因法令或主管機關或其指定機構公告之基礎情境而變動外，簽證精算人員應依下列規定辦理：</w:t>
            </w:r>
          </w:p>
          <w:p w:rsidR="00343899" w:rsidRPr="004628CE" w:rsidRDefault="00343899" w:rsidP="00343899">
            <w:pPr>
              <w:spacing w:line="276" w:lineRule="auto"/>
              <w:ind w:leftChars="213" w:left="972" w:hangingChars="192" w:hanging="461"/>
              <w:jc w:val="both"/>
              <w:rPr>
                <w:rFonts w:eastAsia="標楷體"/>
              </w:rPr>
            </w:pPr>
            <w:r w:rsidRPr="004628CE">
              <w:rPr>
                <w:rFonts w:eastAsia="標楷體"/>
              </w:rPr>
              <w:t>(</w:t>
            </w:r>
            <w:proofErr w:type="gramStart"/>
            <w:r w:rsidRPr="004628CE">
              <w:rPr>
                <w:rFonts w:eastAsia="標楷體"/>
              </w:rPr>
              <w:t>一</w:t>
            </w:r>
            <w:proofErr w:type="gramEnd"/>
            <w:r w:rsidRPr="004628CE">
              <w:rPr>
                <w:rFonts w:eastAsia="標楷體"/>
              </w:rPr>
              <w:t>)</w:t>
            </w:r>
            <w:r w:rsidRPr="004628CE">
              <w:rPr>
                <w:rFonts w:eastAsia="標楷體"/>
              </w:rPr>
              <w:t>若精算假設變動致使</w:t>
            </w:r>
            <w:r w:rsidRPr="004628CE">
              <w:rPr>
                <w:rFonts w:eastAsia="標楷體" w:hint="eastAsia"/>
              </w:rPr>
              <w:t>各項簽證項目之</w:t>
            </w:r>
            <w:r w:rsidRPr="004628CE">
              <w:rPr>
                <w:rFonts w:eastAsia="標楷體"/>
              </w:rPr>
              <w:t>測試結果有顯著影響時，應評估其</w:t>
            </w:r>
            <w:r w:rsidRPr="004628CE">
              <w:rPr>
                <w:rFonts w:eastAsia="標楷體"/>
              </w:rPr>
              <w:lastRenderedPageBreak/>
              <w:t>影響數，且揭露於精算意見書，並應報經董事會決議通過。</w:t>
            </w:r>
          </w:p>
          <w:p w:rsidR="00343899" w:rsidRPr="004628CE" w:rsidRDefault="00343899" w:rsidP="00343899">
            <w:pPr>
              <w:spacing w:line="276" w:lineRule="auto"/>
              <w:ind w:leftChars="213" w:left="972" w:hangingChars="192" w:hanging="461"/>
              <w:jc w:val="both"/>
              <w:rPr>
                <w:rFonts w:eastAsia="標楷體"/>
              </w:rPr>
            </w:pPr>
            <w:r w:rsidRPr="004628CE">
              <w:rPr>
                <w:rFonts w:eastAsia="標楷體"/>
              </w:rPr>
              <w:t>(</w:t>
            </w:r>
            <w:r w:rsidRPr="004628CE">
              <w:rPr>
                <w:rFonts w:eastAsia="標楷體"/>
              </w:rPr>
              <w:t>二</w:t>
            </w:r>
            <w:r w:rsidRPr="004628CE">
              <w:rPr>
                <w:rFonts w:eastAsia="標楷體"/>
              </w:rPr>
              <w:t>)</w:t>
            </w:r>
            <w:r w:rsidRPr="004628CE">
              <w:rPr>
                <w:rFonts w:eastAsia="標楷體"/>
              </w:rPr>
              <w:t>若精算假設變動致使</w:t>
            </w:r>
            <w:r w:rsidRPr="004628CE">
              <w:rPr>
                <w:rFonts w:eastAsia="標楷體" w:hint="eastAsia"/>
              </w:rPr>
              <w:t>各項簽證項目之</w:t>
            </w:r>
            <w:r w:rsidRPr="004628CE">
              <w:rPr>
                <w:rFonts w:eastAsia="標楷體"/>
              </w:rPr>
              <w:t>測試結果更趨保守時，僅須說明該變動之合理性及必要性。</w:t>
            </w:r>
          </w:p>
          <w:p w:rsidR="00AA72C0" w:rsidRPr="004628CE" w:rsidRDefault="00AA72C0" w:rsidP="00AA72C0">
            <w:pPr>
              <w:spacing w:line="276" w:lineRule="auto"/>
              <w:ind w:leftChars="205" w:left="492" w:firstLineChars="2" w:firstLine="5"/>
              <w:jc w:val="both"/>
              <w:rPr>
                <w:rFonts w:eastAsia="標楷體" w:hAnsi="標楷體"/>
              </w:rPr>
            </w:pPr>
            <w:r w:rsidRPr="004628CE">
              <w:rPr>
                <w:rFonts w:eastAsia="標楷體" w:hint="eastAsia"/>
                <w:u w:val="single"/>
              </w:rPr>
              <w:t>簽證精算人員應提出精算假設變動致使各簽證項目測試結果產生顯著影響之判斷標準。</w:t>
            </w:r>
          </w:p>
        </w:tc>
        <w:tc>
          <w:tcPr>
            <w:tcW w:w="3720" w:type="dxa"/>
          </w:tcPr>
          <w:p w:rsidR="00343899" w:rsidRPr="004628CE" w:rsidRDefault="00343899" w:rsidP="00343899">
            <w:pPr>
              <w:spacing w:line="276" w:lineRule="auto"/>
              <w:ind w:left="492" w:hangingChars="205" w:hanging="492"/>
              <w:jc w:val="both"/>
              <w:rPr>
                <w:rFonts w:eastAsia="標楷體"/>
              </w:rPr>
            </w:pPr>
            <w:r w:rsidRPr="004628CE">
              <w:rPr>
                <w:rFonts w:eastAsia="標楷體" w:hint="eastAsia"/>
              </w:rPr>
              <w:lastRenderedPageBreak/>
              <w:t>十九、</w:t>
            </w:r>
            <w:r w:rsidRPr="004628CE">
              <w:rPr>
                <w:rFonts w:eastAsia="標楷體"/>
              </w:rPr>
              <w:t>簽證精算人員</w:t>
            </w:r>
            <w:proofErr w:type="gramStart"/>
            <w:r w:rsidRPr="004628CE">
              <w:rPr>
                <w:rFonts w:eastAsia="標楷體"/>
              </w:rPr>
              <w:t>應檢附當年度</w:t>
            </w:r>
            <w:proofErr w:type="gramEnd"/>
            <w:r w:rsidRPr="004628CE">
              <w:rPr>
                <w:rFonts w:eastAsia="標楷體"/>
              </w:rPr>
              <w:t>與上年度之負債面假設對照表，除說明所採用之精算軟體外，至少應包括</w:t>
            </w:r>
            <w:proofErr w:type="gramStart"/>
            <w:r w:rsidRPr="004628CE">
              <w:rPr>
                <w:rFonts w:eastAsia="標楷體"/>
              </w:rPr>
              <w:t>脫退率</w:t>
            </w:r>
            <w:proofErr w:type="gramEnd"/>
            <w:r w:rsidRPr="004628CE">
              <w:rPr>
                <w:rFonts w:eastAsia="標楷體"/>
              </w:rPr>
              <w:t>、死亡率、</w:t>
            </w:r>
            <w:proofErr w:type="gramStart"/>
            <w:r w:rsidRPr="004628CE">
              <w:rPr>
                <w:rFonts w:eastAsia="標楷體"/>
              </w:rPr>
              <w:t>罹</w:t>
            </w:r>
            <w:proofErr w:type="gramEnd"/>
            <w:r w:rsidRPr="004628CE">
              <w:rPr>
                <w:rFonts w:eastAsia="標楷體"/>
              </w:rPr>
              <w:t>病率、費用及分紅</w:t>
            </w:r>
            <w:r w:rsidRPr="004628CE">
              <w:rPr>
                <w:rFonts w:eastAsia="標楷體" w:hint="eastAsia"/>
              </w:rPr>
              <w:t>(</w:t>
            </w:r>
            <w:r w:rsidRPr="004628CE">
              <w:rPr>
                <w:rFonts w:eastAsia="標楷體"/>
              </w:rPr>
              <w:t>包含強制分紅及自由分紅</w:t>
            </w:r>
            <w:r w:rsidRPr="004628CE">
              <w:rPr>
                <w:rFonts w:eastAsia="標楷體" w:hint="eastAsia"/>
              </w:rPr>
              <w:t>)</w:t>
            </w:r>
            <w:r w:rsidRPr="004628CE">
              <w:rPr>
                <w:rFonts w:eastAsia="標楷體"/>
              </w:rPr>
              <w:t>等負債面假設。若假設完全相同者，應說明其適當性；若有不一致者，應說明其原因及影響是否顯著。如有顯著影響，應以量化方式評估其影響程度</w:t>
            </w:r>
            <w:r w:rsidRPr="004628CE">
              <w:rPr>
                <w:rFonts w:eastAsia="標楷體" w:hint="eastAsia"/>
              </w:rPr>
              <w:t>(</w:t>
            </w:r>
            <w:r w:rsidRPr="004628CE">
              <w:rPr>
                <w:rFonts w:eastAsia="標楷體" w:hint="eastAsia"/>
              </w:rPr>
              <w:t>準備金適足性測試之變動</w:t>
            </w:r>
            <w:proofErr w:type="gramStart"/>
            <w:r w:rsidRPr="004628CE">
              <w:rPr>
                <w:rFonts w:eastAsia="標楷體" w:hint="eastAsia"/>
              </w:rPr>
              <w:t>分析表詳指定</w:t>
            </w:r>
            <w:proofErr w:type="gramEnd"/>
            <w:r w:rsidRPr="004628CE">
              <w:rPr>
                <w:rFonts w:eastAsia="標楷體" w:hint="eastAsia"/>
              </w:rPr>
              <w:t>附表</w:t>
            </w:r>
            <w:r w:rsidRPr="004628CE">
              <w:rPr>
                <w:rFonts w:eastAsia="標楷體" w:hint="eastAsia"/>
              </w:rPr>
              <w:t>15)</w:t>
            </w:r>
            <w:r w:rsidRPr="004628CE">
              <w:rPr>
                <w:rFonts w:eastAsia="標楷體"/>
              </w:rPr>
              <w:t>。</w:t>
            </w:r>
          </w:p>
          <w:p w:rsidR="00343899" w:rsidRPr="004628CE" w:rsidRDefault="00343899" w:rsidP="00343899">
            <w:pPr>
              <w:spacing w:line="276" w:lineRule="auto"/>
              <w:ind w:leftChars="205" w:left="492" w:firstLineChars="2" w:firstLine="5"/>
              <w:jc w:val="both"/>
              <w:rPr>
                <w:rFonts w:eastAsia="標楷體"/>
              </w:rPr>
            </w:pPr>
            <w:r w:rsidRPr="004628CE">
              <w:rPr>
                <w:rFonts w:eastAsia="標楷體"/>
              </w:rPr>
              <w:t>除因法令或主管機關或其指定機構公告之基礎情境而變動外，簽證精算人員應依下列規定辦理：</w:t>
            </w:r>
          </w:p>
          <w:p w:rsidR="00343899" w:rsidRPr="004628CE" w:rsidRDefault="00343899" w:rsidP="00343899">
            <w:pPr>
              <w:spacing w:line="276" w:lineRule="auto"/>
              <w:ind w:leftChars="213" w:left="972" w:hangingChars="192" w:hanging="461"/>
              <w:jc w:val="both"/>
              <w:rPr>
                <w:rFonts w:eastAsia="標楷體"/>
              </w:rPr>
            </w:pPr>
            <w:r w:rsidRPr="004628CE">
              <w:rPr>
                <w:rFonts w:eastAsia="標楷體"/>
              </w:rPr>
              <w:t>(</w:t>
            </w:r>
            <w:proofErr w:type="gramStart"/>
            <w:r w:rsidRPr="004628CE">
              <w:rPr>
                <w:rFonts w:eastAsia="標楷體"/>
              </w:rPr>
              <w:t>一</w:t>
            </w:r>
            <w:proofErr w:type="gramEnd"/>
            <w:r w:rsidRPr="004628CE">
              <w:rPr>
                <w:rFonts w:eastAsia="標楷體"/>
              </w:rPr>
              <w:t>)</w:t>
            </w:r>
            <w:r w:rsidRPr="004628CE">
              <w:rPr>
                <w:rFonts w:eastAsia="標楷體"/>
              </w:rPr>
              <w:t>若精算假設變動致使</w:t>
            </w:r>
            <w:r w:rsidRPr="004628CE">
              <w:rPr>
                <w:rFonts w:eastAsia="標楷體" w:hint="eastAsia"/>
              </w:rPr>
              <w:t>各項簽證項目之</w:t>
            </w:r>
            <w:r w:rsidRPr="004628CE">
              <w:rPr>
                <w:rFonts w:eastAsia="標楷體"/>
              </w:rPr>
              <w:t>測試結果有顯著影響時，應評估其</w:t>
            </w:r>
            <w:r w:rsidRPr="004628CE">
              <w:rPr>
                <w:rFonts w:eastAsia="標楷體"/>
              </w:rPr>
              <w:lastRenderedPageBreak/>
              <w:t>影響數，且揭露於精算意見書，並應報經董事會決議通過。</w:t>
            </w:r>
          </w:p>
          <w:p w:rsidR="00343899" w:rsidRPr="004628CE" w:rsidRDefault="00343899" w:rsidP="00343899">
            <w:pPr>
              <w:spacing w:line="276" w:lineRule="auto"/>
              <w:ind w:leftChars="213" w:left="972" w:hangingChars="192" w:hanging="461"/>
              <w:jc w:val="both"/>
              <w:rPr>
                <w:rFonts w:eastAsia="標楷體" w:hAnsi="標楷體"/>
              </w:rPr>
            </w:pPr>
            <w:r w:rsidRPr="004628CE">
              <w:rPr>
                <w:rFonts w:eastAsia="標楷體"/>
              </w:rPr>
              <w:t>(</w:t>
            </w:r>
            <w:r w:rsidRPr="004628CE">
              <w:rPr>
                <w:rFonts w:eastAsia="標楷體"/>
              </w:rPr>
              <w:t>二</w:t>
            </w:r>
            <w:r w:rsidRPr="004628CE">
              <w:rPr>
                <w:rFonts w:eastAsia="標楷體"/>
              </w:rPr>
              <w:t>)</w:t>
            </w:r>
            <w:r w:rsidRPr="004628CE">
              <w:rPr>
                <w:rFonts w:eastAsia="標楷體"/>
              </w:rPr>
              <w:t>若精算假設變動致使</w:t>
            </w:r>
            <w:r w:rsidRPr="004628CE">
              <w:rPr>
                <w:rFonts w:eastAsia="標楷體" w:hint="eastAsia"/>
              </w:rPr>
              <w:t>各項簽證項目之</w:t>
            </w:r>
            <w:r w:rsidRPr="004628CE">
              <w:rPr>
                <w:rFonts w:eastAsia="標楷體"/>
              </w:rPr>
              <w:t>測試結果更趨保守時，僅須說明該變動之合理性及必要性。</w:t>
            </w:r>
          </w:p>
        </w:tc>
        <w:tc>
          <w:tcPr>
            <w:tcW w:w="1774" w:type="dxa"/>
          </w:tcPr>
          <w:p w:rsidR="00343899" w:rsidRPr="00C223CC" w:rsidRDefault="000A7B75" w:rsidP="000A7B75">
            <w:pPr>
              <w:spacing w:line="276" w:lineRule="auto"/>
              <w:ind w:leftChars="-16" w:left="-38" w:rightChars="-25" w:right="-60"/>
              <w:jc w:val="both"/>
              <w:rPr>
                <w:rFonts w:eastAsia="標楷體"/>
              </w:rPr>
            </w:pPr>
            <w:r w:rsidRPr="00C223CC">
              <w:rPr>
                <w:rFonts w:eastAsia="標楷體" w:hint="eastAsia"/>
                <w:kern w:val="0"/>
              </w:rPr>
              <w:lastRenderedPageBreak/>
              <w:t>增列</w:t>
            </w:r>
            <w:proofErr w:type="gramStart"/>
            <w:r w:rsidRPr="00C223CC">
              <w:rPr>
                <w:rFonts w:eastAsia="標楷體" w:hint="eastAsia"/>
                <w:kern w:val="0"/>
              </w:rPr>
              <w:t>第三項</w:t>
            </w:r>
            <w:r w:rsidRPr="00C223CC">
              <w:rPr>
                <w:rFonts w:eastAsia="標楷體"/>
                <w:kern w:val="0"/>
              </w:rPr>
              <w:t>同第</w:t>
            </w:r>
            <w:r w:rsidRPr="00C223CC">
              <w:rPr>
                <w:rFonts w:eastAsia="標楷體" w:hint="eastAsia"/>
                <w:kern w:val="0"/>
              </w:rPr>
              <w:t>十</w:t>
            </w:r>
            <w:proofErr w:type="gramEnd"/>
            <w:r w:rsidRPr="00C223CC">
              <w:rPr>
                <w:rFonts w:eastAsia="標楷體" w:hint="eastAsia"/>
                <w:kern w:val="0"/>
              </w:rPr>
              <w:t>四點</w:t>
            </w:r>
            <w:r w:rsidRPr="00C223CC">
              <w:rPr>
                <w:rFonts w:eastAsia="標楷體"/>
                <w:kern w:val="0"/>
              </w:rPr>
              <w:t>說明。</w:t>
            </w:r>
          </w:p>
        </w:tc>
      </w:tr>
      <w:tr w:rsidR="00B95F7A" w:rsidRPr="004628CE" w:rsidTr="006A1052">
        <w:trPr>
          <w:trHeight w:val="454"/>
        </w:trPr>
        <w:tc>
          <w:tcPr>
            <w:tcW w:w="3720" w:type="dxa"/>
            <w:vAlign w:val="center"/>
          </w:tcPr>
          <w:p w:rsidR="00B95F7A" w:rsidRPr="004628CE" w:rsidRDefault="00B95F7A" w:rsidP="00B95F7A">
            <w:pPr>
              <w:spacing w:line="276" w:lineRule="auto"/>
              <w:ind w:left="5" w:rightChars="-25" w:right="-60"/>
              <w:jc w:val="both"/>
              <w:rPr>
                <w:rFonts w:eastAsia="標楷體"/>
              </w:rPr>
            </w:pPr>
            <w:r w:rsidRPr="004628CE">
              <w:rPr>
                <w:rFonts w:eastAsia="標楷體"/>
              </w:rPr>
              <w:lastRenderedPageBreak/>
              <w:t>第四章、準備金適足性</w:t>
            </w:r>
          </w:p>
        </w:tc>
        <w:tc>
          <w:tcPr>
            <w:tcW w:w="3720" w:type="dxa"/>
            <w:vAlign w:val="center"/>
          </w:tcPr>
          <w:p w:rsidR="00B95F7A" w:rsidRPr="004628CE" w:rsidRDefault="00B95F7A" w:rsidP="00B95F7A">
            <w:pPr>
              <w:spacing w:line="276" w:lineRule="auto"/>
              <w:ind w:left="5"/>
              <w:jc w:val="both"/>
              <w:rPr>
                <w:rFonts w:eastAsia="標楷體"/>
              </w:rPr>
            </w:pPr>
            <w:r w:rsidRPr="004628CE">
              <w:rPr>
                <w:rFonts w:eastAsia="標楷體"/>
              </w:rPr>
              <w:t>第四章、準備金適足性</w:t>
            </w:r>
          </w:p>
        </w:tc>
        <w:tc>
          <w:tcPr>
            <w:tcW w:w="1774" w:type="dxa"/>
            <w:vAlign w:val="center"/>
          </w:tcPr>
          <w:p w:rsidR="00B95F7A" w:rsidRPr="00A03692" w:rsidRDefault="00B95F7A" w:rsidP="00B95F7A">
            <w:pPr>
              <w:spacing w:line="276" w:lineRule="auto"/>
              <w:ind w:leftChars="-16" w:left="-38" w:rightChars="-25" w:right="-60"/>
              <w:jc w:val="both"/>
              <w:rPr>
                <w:rFonts w:eastAsia="標楷體"/>
              </w:rPr>
            </w:pPr>
          </w:p>
        </w:tc>
      </w:tr>
      <w:tr w:rsidR="002913D8" w:rsidRPr="004628CE" w:rsidTr="006A1052">
        <w:tc>
          <w:tcPr>
            <w:tcW w:w="3720" w:type="dxa"/>
          </w:tcPr>
          <w:p w:rsidR="003C26EB" w:rsidRDefault="002913D8" w:rsidP="000B4619">
            <w:pPr>
              <w:spacing w:line="276" w:lineRule="auto"/>
              <w:ind w:left="492" w:hangingChars="205" w:hanging="492"/>
              <w:jc w:val="both"/>
              <w:rPr>
                <w:rFonts w:eastAsia="標楷體"/>
                <w:u w:val="single"/>
              </w:rPr>
            </w:pPr>
            <w:r w:rsidRPr="004628CE">
              <w:rPr>
                <w:rFonts w:eastAsia="標楷體"/>
              </w:rPr>
              <w:t>二十、</w:t>
            </w:r>
            <w:r w:rsidRPr="004628CE">
              <w:rPr>
                <w:rFonts w:eastAsia="標楷體" w:hint="eastAsia"/>
              </w:rPr>
              <w:t>簽證精算人員進行準備金適足性測試前，應檢視各種準備金提存金額之正確性</w:t>
            </w:r>
            <w:r w:rsidRPr="004628CE">
              <w:rPr>
                <w:rFonts w:eastAsia="標楷體" w:hint="eastAsia"/>
              </w:rPr>
              <w:t>(</w:t>
            </w:r>
            <w:r w:rsidRPr="004628CE">
              <w:rPr>
                <w:rFonts w:eastAsia="標楷體" w:hint="eastAsia"/>
              </w:rPr>
              <w:t>如負債適足準備金、次標準體準備金、停</w:t>
            </w:r>
            <w:r w:rsidRPr="004628CE">
              <w:rPr>
                <w:rFonts w:eastAsia="標楷體" w:hint="eastAsia"/>
              </w:rPr>
              <w:t>/</w:t>
            </w:r>
            <w:r w:rsidRPr="004628CE">
              <w:rPr>
                <w:rFonts w:eastAsia="標楷體" w:hint="eastAsia"/>
              </w:rPr>
              <w:t>失效準備金、</w:t>
            </w:r>
            <w:proofErr w:type="gramStart"/>
            <w:r w:rsidRPr="004628CE">
              <w:rPr>
                <w:rFonts w:eastAsia="標楷體" w:hint="eastAsia"/>
              </w:rPr>
              <w:t>死利差互</w:t>
            </w:r>
            <w:proofErr w:type="gramEnd"/>
            <w:r w:rsidRPr="004628CE">
              <w:rPr>
                <w:rFonts w:eastAsia="標楷體" w:hint="eastAsia"/>
              </w:rPr>
              <w:t>抵準備金、紅利</w:t>
            </w:r>
            <w:proofErr w:type="gramStart"/>
            <w:r w:rsidRPr="004628CE">
              <w:rPr>
                <w:rFonts w:eastAsia="標楷體" w:hint="eastAsia"/>
              </w:rPr>
              <w:t>增額繳清</w:t>
            </w:r>
            <w:proofErr w:type="gramEnd"/>
            <w:r w:rsidRPr="004628CE">
              <w:rPr>
                <w:rFonts w:eastAsia="標楷體" w:hint="eastAsia"/>
              </w:rPr>
              <w:t>準備金、紅利儲存生息準備金、應計紅利準備金</w:t>
            </w:r>
            <w:r w:rsidR="00CE2F55" w:rsidRPr="004628CE">
              <w:rPr>
                <w:rFonts w:eastAsia="標楷體" w:hint="eastAsia"/>
                <w:u w:val="single"/>
              </w:rPr>
              <w:t>、保費不足準備金</w:t>
            </w:r>
            <w:r w:rsidRPr="004628CE">
              <w:rPr>
                <w:rFonts w:eastAsia="標楷體" w:hint="eastAsia"/>
              </w:rPr>
              <w:t>等，但不限於上述項目</w:t>
            </w:r>
            <w:r w:rsidRPr="004628CE">
              <w:rPr>
                <w:rFonts w:eastAsia="標楷體" w:hint="eastAsia"/>
              </w:rPr>
              <w:t>)</w:t>
            </w:r>
            <w:r w:rsidRPr="004628CE">
              <w:rPr>
                <w:rFonts w:eastAsia="標楷體" w:hint="eastAsia"/>
              </w:rPr>
              <w:t>，若法令未規定者應說明其合理性</w:t>
            </w:r>
            <w:r w:rsidR="00DE4939">
              <w:rPr>
                <w:rFonts w:eastAsia="標楷體" w:hint="eastAsia"/>
                <w:u w:val="single"/>
              </w:rPr>
              <w:t>，</w:t>
            </w:r>
            <w:r w:rsidR="001906F8" w:rsidRPr="001906F8">
              <w:rPr>
                <w:rFonts w:eastAsia="標楷體" w:hint="eastAsia"/>
                <w:u w:val="single"/>
              </w:rPr>
              <w:t>其中短期險保費不足準備金應提供現行採用之提存公式，並說明參照人身保險業簽證精算人員實務處理原則進行檢視之結果。</w:t>
            </w:r>
          </w:p>
          <w:p w:rsidR="003A35C2" w:rsidRPr="004628CE" w:rsidRDefault="00213761" w:rsidP="002A7123">
            <w:pPr>
              <w:spacing w:line="276" w:lineRule="auto"/>
              <w:ind w:leftChars="191" w:left="489" w:hangingChars="13" w:hanging="31"/>
              <w:jc w:val="both"/>
              <w:rPr>
                <w:rFonts w:eastAsia="標楷體"/>
                <w:u w:val="single"/>
              </w:rPr>
            </w:pPr>
            <w:r>
              <w:rPr>
                <w:rFonts w:eastAsia="標楷體" w:hint="eastAsia"/>
                <w:u w:val="single"/>
              </w:rPr>
              <w:t>另</w:t>
            </w:r>
            <w:r>
              <w:rPr>
                <w:rFonts w:eastAsia="標楷體"/>
                <w:u w:val="single"/>
              </w:rPr>
              <w:t>針對</w:t>
            </w:r>
            <w:r w:rsidR="003A35C2" w:rsidRPr="004628CE">
              <w:rPr>
                <w:rFonts w:eastAsia="標楷體" w:hint="eastAsia"/>
                <w:u w:val="single"/>
              </w:rPr>
              <w:t>因</w:t>
            </w:r>
            <w:proofErr w:type="gramStart"/>
            <w:r w:rsidR="003A35C2" w:rsidRPr="004628CE">
              <w:rPr>
                <w:rFonts w:eastAsia="標楷體" w:hint="eastAsia"/>
                <w:u w:val="single"/>
              </w:rPr>
              <w:t>併</w:t>
            </w:r>
            <w:proofErr w:type="gramEnd"/>
            <w:r w:rsidR="00AD713A">
              <w:rPr>
                <w:rFonts w:eastAsia="標楷體" w:hint="eastAsia"/>
                <w:u w:val="single"/>
              </w:rPr>
              <w:t>購</w:t>
            </w:r>
            <w:r w:rsidR="003A35C2" w:rsidRPr="004628CE">
              <w:rPr>
                <w:rFonts w:eastAsia="標楷體" w:hint="eastAsia"/>
                <w:u w:val="single"/>
              </w:rPr>
              <w:t>而反映所承受保險契約公允價值之其他準備，應提供該準備金之歷史變動明細表且說明變動原因。</w:t>
            </w:r>
          </w:p>
        </w:tc>
        <w:tc>
          <w:tcPr>
            <w:tcW w:w="3720" w:type="dxa"/>
          </w:tcPr>
          <w:p w:rsidR="002913D8" w:rsidRPr="004628CE" w:rsidRDefault="002913D8" w:rsidP="002913D8">
            <w:pPr>
              <w:spacing w:line="276" w:lineRule="auto"/>
              <w:ind w:left="492" w:hangingChars="205" w:hanging="492"/>
              <w:jc w:val="both"/>
              <w:rPr>
                <w:rFonts w:eastAsia="標楷體"/>
              </w:rPr>
            </w:pPr>
            <w:r w:rsidRPr="004628CE">
              <w:rPr>
                <w:rFonts w:eastAsia="標楷體"/>
              </w:rPr>
              <w:t>二十、</w:t>
            </w:r>
            <w:r w:rsidRPr="004628CE">
              <w:rPr>
                <w:rFonts w:eastAsia="標楷體" w:hint="eastAsia"/>
              </w:rPr>
              <w:t>簽證精算人員進行準備金適足性測試前，應檢視各種準備金提存金額之正確性</w:t>
            </w:r>
            <w:r w:rsidRPr="004628CE">
              <w:rPr>
                <w:rFonts w:eastAsia="標楷體" w:hint="eastAsia"/>
              </w:rPr>
              <w:t>(</w:t>
            </w:r>
            <w:r w:rsidRPr="004628CE">
              <w:rPr>
                <w:rFonts w:eastAsia="標楷體" w:hint="eastAsia"/>
              </w:rPr>
              <w:t>如負債適足準備金、次標準體準備金、停</w:t>
            </w:r>
            <w:r w:rsidRPr="004628CE">
              <w:rPr>
                <w:rFonts w:eastAsia="標楷體" w:hint="eastAsia"/>
              </w:rPr>
              <w:t>/</w:t>
            </w:r>
            <w:r w:rsidRPr="004628CE">
              <w:rPr>
                <w:rFonts w:eastAsia="標楷體" w:hint="eastAsia"/>
              </w:rPr>
              <w:t>失效準備金、</w:t>
            </w:r>
            <w:proofErr w:type="gramStart"/>
            <w:r w:rsidRPr="004628CE">
              <w:rPr>
                <w:rFonts w:eastAsia="標楷體" w:hint="eastAsia"/>
              </w:rPr>
              <w:t>死利差互</w:t>
            </w:r>
            <w:proofErr w:type="gramEnd"/>
            <w:r w:rsidRPr="004628CE">
              <w:rPr>
                <w:rFonts w:eastAsia="標楷體" w:hint="eastAsia"/>
              </w:rPr>
              <w:t>抵準備金、紅利</w:t>
            </w:r>
            <w:proofErr w:type="gramStart"/>
            <w:r w:rsidRPr="004628CE">
              <w:rPr>
                <w:rFonts w:eastAsia="標楷體" w:hint="eastAsia"/>
              </w:rPr>
              <w:t>增額繳清</w:t>
            </w:r>
            <w:proofErr w:type="gramEnd"/>
            <w:r w:rsidRPr="004628CE">
              <w:rPr>
                <w:rFonts w:eastAsia="標楷體" w:hint="eastAsia"/>
              </w:rPr>
              <w:t>準備金、紅利儲存生息準備金、應計紅利準備金等，但不限於上述項目</w:t>
            </w:r>
            <w:r w:rsidRPr="004628CE">
              <w:rPr>
                <w:rFonts w:eastAsia="標楷體" w:hint="eastAsia"/>
              </w:rPr>
              <w:t>)</w:t>
            </w:r>
            <w:r w:rsidRPr="004628CE">
              <w:rPr>
                <w:rFonts w:eastAsia="標楷體" w:hint="eastAsia"/>
              </w:rPr>
              <w:t>，若法令未規定者應說明其合理性。</w:t>
            </w:r>
          </w:p>
        </w:tc>
        <w:tc>
          <w:tcPr>
            <w:tcW w:w="1774" w:type="dxa"/>
          </w:tcPr>
          <w:p w:rsidR="00BD6A39" w:rsidRPr="00A03692" w:rsidRDefault="007B503C" w:rsidP="00841139">
            <w:pPr>
              <w:numPr>
                <w:ilvl w:val="0"/>
                <w:numId w:val="107"/>
              </w:numPr>
              <w:spacing w:line="276" w:lineRule="auto"/>
              <w:ind w:left="107" w:rightChars="-25" w:right="-60" w:hanging="197"/>
              <w:jc w:val="both"/>
              <w:rPr>
                <w:rFonts w:eastAsia="標楷體"/>
              </w:rPr>
            </w:pPr>
            <w:r w:rsidRPr="00A03692">
              <w:rPr>
                <w:rFonts w:ascii="標楷體" w:eastAsia="標楷體" w:hAnsi="標楷體" w:hint="eastAsia"/>
                <w:kern w:val="0"/>
              </w:rPr>
              <w:t>有關短期險保費不足準備金，由於法令僅規定「</w:t>
            </w:r>
            <w:r w:rsidRPr="00A03692">
              <w:rPr>
                <w:rFonts w:ascii="標楷體" w:eastAsia="標楷體" w:hAnsi="標楷體"/>
                <w:kern w:val="0"/>
              </w:rPr>
              <w:t>保險期間一年以下尚未屆滿之有效契約，應評估未來可能發生之賠款與費用，該評估金額</w:t>
            </w:r>
            <w:proofErr w:type="gramStart"/>
            <w:r w:rsidRPr="00A03692">
              <w:rPr>
                <w:rFonts w:ascii="標楷體" w:eastAsia="標楷體" w:hAnsi="標楷體"/>
                <w:kern w:val="0"/>
              </w:rPr>
              <w:t>如逾提存</w:t>
            </w:r>
            <w:proofErr w:type="gramEnd"/>
            <w:r w:rsidRPr="00A03692">
              <w:rPr>
                <w:rFonts w:ascii="標楷體" w:eastAsia="標楷體" w:hAnsi="標楷體"/>
                <w:kern w:val="0"/>
              </w:rPr>
              <w:t>之未滿期保費準備金及未來預期之保費收入，應就其差額</w:t>
            </w:r>
            <w:proofErr w:type="gramStart"/>
            <w:r w:rsidRPr="00A03692">
              <w:rPr>
                <w:rFonts w:ascii="標楷體" w:eastAsia="標楷體" w:hAnsi="標楷體"/>
                <w:kern w:val="0"/>
              </w:rPr>
              <w:t>按險別</w:t>
            </w:r>
            <w:proofErr w:type="gramEnd"/>
            <w:r w:rsidRPr="00A03692">
              <w:rPr>
                <w:rFonts w:ascii="標楷體" w:eastAsia="標楷體" w:hAnsi="標楷體"/>
                <w:kern w:val="0"/>
              </w:rPr>
              <w:t>提存保費不足準備金</w:t>
            </w:r>
            <w:r w:rsidRPr="00A03692">
              <w:rPr>
                <w:rFonts w:ascii="標楷體" w:eastAsia="標楷體" w:hAnsi="標楷體" w:hint="eastAsia"/>
                <w:kern w:val="0"/>
              </w:rPr>
              <w:t>」，</w:t>
            </w:r>
            <w:proofErr w:type="gramStart"/>
            <w:r w:rsidR="00213761" w:rsidRPr="00A03692">
              <w:rPr>
                <w:rFonts w:ascii="標楷體" w:eastAsia="標楷體" w:hAnsi="標楷體"/>
              </w:rPr>
              <w:t>爰</w:t>
            </w:r>
            <w:proofErr w:type="gramEnd"/>
            <w:r w:rsidR="000B4619" w:rsidRPr="00C223CC">
              <w:rPr>
                <w:rFonts w:ascii="標楷體" w:eastAsia="標楷體" w:hAnsi="標楷體" w:hint="eastAsia"/>
              </w:rPr>
              <w:t>第一項</w:t>
            </w:r>
            <w:r w:rsidR="00BD6A39" w:rsidRPr="00C223CC">
              <w:rPr>
                <w:rFonts w:ascii="標楷體" w:eastAsia="標楷體" w:hAnsi="標楷體" w:hint="eastAsia"/>
              </w:rPr>
              <w:t>增列</w:t>
            </w:r>
            <w:r w:rsidR="00BD3AE6" w:rsidRPr="00C223CC">
              <w:rPr>
                <w:rFonts w:ascii="標楷體" w:eastAsia="標楷體" w:hAnsi="標楷體" w:hint="eastAsia"/>
              </w:rPr>
              <w:t>短</w:t>
            </w:r>
            <w:r w:rsidR="00BD3AE6" w:rsidRPr="00A03692">
              <w:rPr>
                <w:rFonts w:ascii="標楷體" w:eastAsia="標楷體" w:hAnsi="標楷體" w:hint="eastAsia"/>
              </w:rPr>
              <w:t>期險</w:t>
            </w:r>
            <w:r w:rsidR="00BD6A39" w:rsidRPr="00A03692">
              <w:rPr>
                <w:rFonts w:ascii="標楷體" w:eastAsia="標楷體" w:hAnsi="標楷體" w:hint="eastAsia"/>
              </w:rPr>
              <w:t>保費不足準備</w:t>
            </w:r>
            <w:r w:rsidR="00BD6A39" w:rsidRPr="00A03692">
              <w:rPr>
                <w:rFonts w:ascii="標楷體" w:eastAsia="標楷體" w:hAnsi="標楷體" w:hint="eastAsia"/>
              </w:rPr>
              <w:lastRenderedPageBreak/>
              <w:t>金</w:t>
            </w:r>
            <w:r w:rsidR="00BD3AE6" w:rsidRPr="00A03692">
              <w:rPr>
                <w:rFonts w:ascii="標楷體" w:eastAsia="標楷體" w:hAnsi="標楷體" w:hint="eastAsia"/>
              </w:rPr>
              <w:t>應參照人身保險業簽證精算人員</w:t>
            </w:r>
            <w:r w:rsidR="00BD3AE6" w:rsidRPr="00A03692">
              <w:rPr>
                <w:rFonts w:eastAsia="標楷體" w:hint="eastAsia"/>
              </w:rPr>
              <w:t>實務處理原則進行檢視</w:t>
            </w:r>
            <w:r w:rsidR="000B4619">
              <w:rPr>
                <w:rFonts w:eastAsia="標楷體" w:hint="eastAsia"/>
              </w:rPr>
              <w:t>，</w:t>
            </w:r>
            <w:r w:rsidR="00BD3AE6" w:rsidRPr="00A03692">
              <w:rPr>
                <w:rFonts w:eastAsia="標楷體" w:hint="eastAsia"/>
              </w:rPr>
              <w:t>並說明檢視結果</w:t>
            </w:r>
            <w:r w:rsidR="00213761" w:rsidRPr="00A03692">
              <w:rPr>
                <w:rFonts w:eastAsia="標楷體" w:hint="eastAsia"/>
              </w:rPr>
              <w:t>，</w:t>
            </w:r>
            <w:r w:rsidR="00213761" w:rsidRPr="00A03692">
              <w:rPr>
                <w:rFonts w:eastAsia="標楷體"/>
              </w:rPr>
              <w:t>以</w:t>
            </w:r>
            <w:r w:rsidRPr="00A03692">
              <w:rPr>
                <w:rFonts w:eastAsia="標楷體" w:hint="eastAsia"/>
              </w:rPr>
              <w:t>確認提存方法之合理性</w:t>
            </w:r>
            <w:r w:rsidR="004A5910" w:rsidRPr="00A03692">
              <w:rPr>
                <w:rFonts w:eastAsia="標楷體" w:hint="eastAsia"/>
              </w:rPr>
              <w:t>。</w:t>
            </w:r>
          </w:p>
          <w:p w:rsidR="002913D8" w:rsidRPr="00A03692" w:rsidRDefault="00D006D6" w:rsidP="00841139">
            <w:pPr>
              <w:numPr>
                <w:ilvl w:val="0"/>
                <w:numId w:val="107"/>
              </w:numPr>
              <w:spacing w:line="276" w:lineRule="auto"/>
              <w:ind w:left="107" w:rightChars="-25" w:right="-60" w:hanging="197"/>
              <w:jc w:val="both"/>
            </w:pPr>
            <w:r w:rsidRPr="00A03692">
              <w:rPr>
                <w:rFonts w:eastAsia="標楷體" w:hint="eastAsia"/>
              </w:rPr>
              <w:t>為利</w:t>
            </w:r>
            <w:r w:rsidR="00213761" w:rsidRPr="00A03692">
              <w:rPr>
                <w:rFonts w:eastAsia="標楷體" w:hint="eastAsia"/>
              </w:rPr>
              <w:t>於</w:t>
            </w:r>
            <w:r w:rsidRPr="00A03692">
              <w:rPr>
                <w:rFonts w:eastAsia="標楷體" w:hint="eastAsia"/>
              </w:rPr>
              <w:t>主管機</w:t>
            </w:r>
            <w:r w:rsidRPr="00C223CC">
              <w:rPr>
                <w:rFonts w:eastAsia="標楷體" w:hint="eastAsia"/>
              </w:rPr>
              <w:t>關之監督管理，</w:t>
            </w:r>
            <w:proofErr w:type="gramStart"/>
            <w:r w:rsidR="00FB49B6" w:rsidRPr="00C223CC">
              <w:rPr>
                <w:rFonts w:eastAsia="標楷體" w:hint="eastAsia"/>
              </w:rPr>
              <w:t>爰</w:t>
            </w:r>
            <w:proofErr w:type="gramEnd"/>
            <w:r w:rsidR="00FB49B6" w:rsidRPr="00C223CC">
              <w:rPr>
                <w:rFonts w:eastAsia="標楷體" w:hint="eastAsia"/>
              </w:rPr>
              <w:t>增訂第二項規範</w:t>
            </w:r>
            <w:r w:rsidR="00E95A2C" w:rsidRPr="00C223CC">
              <w:rPr>
                <w:rFonts w:eastAsia="標楷體" w:hint="eastAsia"/>
              </w:rPr>
              <w:t>簽證精算人員</w:t>
            </w:r>
            <w:r w:rsidR="00345ECD" w:rsidRPr="00C223CC">
              <w:rPr>
                <w:rFonts w:eastAsia="標楷體" w:hint="eastAsia"/>
              </w:rPr>
              <w:t>針對</w:t>
            </w:r>
            <w:r w:rsidR="007F45E1" w:rsidRPr="00C223CC">
              <w:rPr>
                <w:rFonts w:eastAsia="標楷體" w:hint="eastAsia"/>
              </w:rPr>
              <w:t>因</w:t>
            </w:r>
            <w:proofErr w:type="gramStart"/>
            <w:r w:rsidR="00FB49B6" w:rsidRPr="00C223CC">
              <w:rPr>
                <w:rFonts w:eastAsia="標楷體" w:hint="eastAsia"/>
              </w:rPr>
              <w:t>併</w:t>
            </w:r>
            <w:proofErr w:type="gramEnd"/>
            <w:r w:rsidR="00FB49B6" w:rsidRPr="00C223CC">
              <w:rPr>
                <w:rFonts w:eastAsia="標楷體" w:hint="eastAsia"/>
              </w:rPr>
              <w:t>購</w:t>
            </w:r>
            <w:r w:rsidRPr="00C223CC">
              <w:rPr>
                <w:rFonts w:eastAsia="標楷體" w:hint="eastAsia"/>
              </w:rPr>
              <w:t>而反映所承受保險契約公允價值</w:t>
            </w:r>
            <w:r w:rsidR="00FB49B6" w:rsidRPr="00C223CC">
              <w:rPr>
                <w:rFonts w:eastAsia="標楷體" w:hint="eastAsia"/>
              </w:rPr>
              <w:t>評估下</w:t>
            </w:r>
            <w:r w:rsidRPr="00C223CC">
              <w:rPr>
                <w:rFonts w:eastAsia="標楷體" w:hint="eastAsia"/>
              </w:rPr>
              <w:t>所增提之其他準備，</w:t>
            </w:r>
            <w:r w:rsidR="00213761" w:rsidRPr="00C223CC">
              <w:rPr>
                <w:rFonts w:eastAsia="標楷體" w:hint="eastAsia"/>
              </w:rPr>
              <w:t>應</w:t>
            </w:r>
            <w:r w:rsidRPr="00C223CC">
              <w:rPr>
                <w:rFonts w:eastAsia="標楷體" w:hint="eastAsia"/>
              </w:rPr>
              <w:t>提供</w:t>
            </w:r>
            <w:r w:rsidR="00213761" w:rsidRPr="00A03692">
              <w:rPr>
                <w:rFonts w:eastAsia="標楷體" w:hint="eastAsia"/>
              </w:rPr>
              <w:t>其</w:t>
            </w:r>
            <w:r w:rsidRPr="00A03692">
              <w:rPr>
                <w:rFonts w:eastAsia="標楷體" w:hint="eastAsia"/>
              </w:rPr>
              <w:t>歷史變動明細表</w:t>
            </w:r>
            <w:r w:rsidR="00D374FD" w:rsidRPr="00A03692">
              <w:rPr>
                <w:rFonts w:eastAsia="標楷體" w:hint="eastAsia"/>
              </w:rPr>
              <w:t>並</w:t>
            </w:r>
            <w:r w:rsidRPr="00A03692">
              <w:rPr>
                <w:rFonts w:eastAsia="標楷體" w:hint="eastAsia"/>
              </w:rPr>
              <w:t>說明變動原因</w:t>
            </w:r>
            <w:r w:rsidR="00E95A2C" w:rsidRPr="00A03692">
              <w:rPr>
                <w:rFonts w:eastAsia="標楷體" w:hint="eastAsia"/>
              </w:rPr>
              <w:t>。</w:t>
            </w:r>
          </w:p>
        </w:tc>
      </w:tr>
      <w:tr w:rsidR="00FA20AB" w:rsidRPr="004628CE" w:rsidTr="006A1052">
        <w:trPr>
          <w:trHeight w:val="454"/>
        </w:trPr>
        <w:tc>
          <w:tcPr>
            <w:tcW w:w="3720" w:type="dxa"/>
            <w:vAlign w:val="center"/>
          </w:tcPr>
          <w:p w:rsidR="00FA20AB" w:rsidRPr="00C6726F" w:rsidRDefault="00FA20AB" w:rsidP="00AB0761">
            <w:pPr>
              <w:spacing w:line="276" w:lineRule="auto"/>
              <w:ind w:left="492" w:hangingChars="205" w:hanging="492"/>
              <w:jc w:val="both"/>
              <w:rPr>
                <w:rFonts w:eastAsia="標楷體"/>
                <w:u w:val="single"/>
              </w:rPr>
            </w:pPr>
            <w:r w:rsidRPr="004628CE">
              <w:rPr>
                <w:rFonts w:eastAsia="標楷體"/>
                <w:u w:val="single"/>
              </w:rPr>
              <w:lastRenderedPageBreak/>
              <w:t>二十</w:t>
            </w:r>
            <w:r w:rsidR="00EC4B64" w:rsidRPr="004628CE">
              <w:rPr>
                <w:rFonts w:eastAsia="標楷體" w:hint="eastAsia"/>
                <w:u w:val="single"/>
              </w:rPr>
              <w:t>之一</w:t>
            </w:r>
            <w:r w:rsidRPr="004628CE">
              <w:rPr>
                <w:rFonts w:eastAsia="標楷體"/>
                <w:u w:val="single"/>
              </w:rPr>
              <w:t>、</w:t>
            </w:r>
            <w:r w:rsidR="001906F8" w:rsidRPr="004628CE">
              <w:rPr>
                <w:rFonts w:eastAsia="標楷體" w:hint="eastAsia"/>
                <w:u w:val="single"/>
              </w:rPr>
              <w:t>簽證精算人員應提供準備金之查核方</w:t>
            </w:r>
            <w:r w:rsidR="001906F8" w:rsidRPr="001906F8">
              <w:rPr>
                <w:rFonts w:eastAsia="標楷體" w:hint="eastAsia"/>
                <w:u w:val="single"/>
              </w:rPr>
              <w:t>式及結果，至少應包括檢視準備金提存流程、確認評估範圍之完整性及正確性、確認各項準備金計算方式之正確性及分析整體準備金之合理性與適法性等各項查核，並應說明抽樣方式足以提供充分且適切之查核證據。</w:t>
            </w:r>
          </w:p>
        </w:tc>
        <w:tc>
          <w:tcPr>
            <w:tcW w:w="3720" w:type="dxa"/>
            <w:vAlign w:val="center"/>
          </w:tcPr>
          <w:p w:rsidR="00FA20AB" w:rsidRPr="004628CE" w:rsidRDefault="00FA20AB" w:rsidP="00B95F7A">
            <w:pPr>
              <w:pStyle w:val="ad"/>
              <w:spacing w:line="276" w:lineRule="auto"/>
              <w:ind w:leftChars="0" w:left="0"/>
              <w:jc w:val="both"/>
              <w:rPr>
                <w:rFonts w:eastAsia="標楷體"/>
                <w:lang w:val="en-US" w:eastAsia="zh-TW"/>
              </w:rPr>
            </w:pPr>
          </w:p>
        </w:tc>
        <w:tc>
          <w:tcPr>
            <w:tcW w:w="1774" w:type="dxa"/>
          </w:tcPr>
          <w:p w:rsidR="00FA20AB" w:rsidRPr="00A03692" w:rsidRDefault="00B6698E" w:rsidP="00C223CC">
            <w:pPr>
              <w:spacing w:line="276" w:lineRule="auto"/>
              <w:ind w:leftChars="-16" w:left="-38" w:rightChars="-25" w:right="-60"/>
              <w:jc w:val="both"/>
              <w:rPr>
                <w:rFonts w:eastAsia="標楷體"/>
              </w:rPr>
            </w:pPr>
            <w:r w:rsidRPr="00A03692">
              <w:rPr>
                <w:rFonts w:eastAsia="標楷體" w:hint="eastAsia"/>
              </w:rPr>
              <w:t>配合外部複核精算人員制度之實施，</w:t>
            </w:r>
            <w:r w:rsidRPr="00C223CC">
              <w:rPr>
                <w:rFonts w:eastAsia="標楷體" w:hint="eastAsia"/>
              </w:rPr>
              <w:t>為</w:t>
            </w:r>
            <w:r w:rsidR="00FB49B6" w:rsidRPr="00C223CC">
              <w:rPr>
                <w:rFonts w:eastAsia="標楷體" w:hint="eastAsia"/>
              </w:rPr>
              <w:t>便</w:t>
            </w:r>
            <w:r w:rsidR="000356BE" w:rsidRPr="00C223CC">
              <w:rPr>
                <w:rFonts w:eastAsia="標楷體" w:hint="eastAsia"/>
              </w:rPr>
              <w:t>外部複核精算人員檢視既有查核程序作業</w:t>
            </w:r>
            <w:r w:rsidR="00FB49B6" w:rsidRPr="00C223CC">
              <w:rPr>
                <w:rFonts w:eastAsia="標楷體" w:hint="eastAsia"/>
              </w:rPr>
              <w:t>，</w:t>
            </w:r>
            <w:r w:rsidR="000356BE" w:rsidRPr="00C223CC">
              <w:rPr>
                <w:rFonts w:eastAsia="標楷體" w:hint="eastAsia"/>
              </w:rPr>
              <w:t>增列</w:t>
            </w:r>
            <w:r w:rsidR="00C223CC">
              <w:rPr>
                <w:rFonts w:eastAsia="標楷體" w:hint="eastAsia"/>
              </w:rPr>
              <w:t>簽證精算人員</w:t>
            </w:r>
            <w:r w:rsidR="000356BE" w:rsidRPr="00C223CC">
              <w:rPr>
                <w:rFonts w:eastAsia="標楷體" w:hint="eastAsia"/>
              </w:rPr>
              <w:t>必要之查核作業</w:t>
            </w:r>
            <w:r w:rsidR="00614927">
              <w:rPr>
                <w:rFonts w:eastAsia="標楷體" w:hint="eastAsia"/>
              </w:rPr>
              <w:t>說明</w:t>
            </w:r>
            <w:r w:rsidR="00FB49B6" w:rsidRPr="00C223CC">
              <w:rPr>
                <w:rFonts w:eastAsia="標楷體"/>
              </w:rPr>
              <w:t>，</w:t>
            </w:r>
            <w:r w:rsidR="00C223CC">
              <w:rPr>
                <w:rFonts w:eastAsia="標楷體" w:hint="eastAsia"/>
              </w:rPr>
              <w:t>以</w:t>
            </w:r>
            <w:r w:rsidR="00FB49B6" w:rsidRPr="00C223CC">
              <w:rPr>
                <w:rFonts w:eastAsia="標楷體"/>
              </w:rPr>
              <w:t>期提升各公司之準備金查核</w:t>
            </w:r>
            <w:r w:rsidRPr="00C223CC">
              <w:rPr>
                <w:rFonts w:eastAsia="標楷體" w:hint="eastAsia"/>
              </w:rPr>
              <w:t>。</w:t>
            </w:r>
          </w:p>
        </w:tc>
      </w:tr>
      <w:tr w:rsidR="00B95F7A" w:rsidRPr="004628CE" w:rsidTr="006A1052">
        <w:trPr>
          <w:trHeight w:val="454"/>
        </w:trPr>
        <w:tc>
          <w:tcPr>
            <w:tcW w:w="3720" w:type="dxa"/>
            <w:vAlign w:val="center"/>
          </w:tcPr>
          <w:p w:rsidR="00B95F7A" w:rsidRPr="004628CE" w:rsidRDefault="00B95F7A" w:rsidP="00B95F7A">
            <w:pPr>
              <w:pStyle w:val="ad"/>
              <w:spacing w:line="276" w:lineRule="auto"/>
              <w:ind w:leftChars="0" w:left="0"/>
              <w:jc w:val="both"/>
              <w:rPr>
                <w:rFonts w:eastAsia="標楷體"/>
                <w:lang w:val="en-US" w:eastAsia="zh-TW"/>
              </w:rPr>
            </w:pPr>
            <w:r w:rsidRPr="004628CE">
              <w:rPr>
                <w:rFonts w:eastAsia="標楷體"/>
                <w:lang w:val="en-US" w:eastAsia="zh-TW"/>
              </w:rPr>
              <w:lastRenderedPageBreak/>
              <w:t>第五章、保險費率釐訂</w:t>
            </w:r>
          </w:p>
        </w:tc>
        <w:tc>
          <w:tcPr>
            <w:tcW w:w="3720" w:type="dxa"/>
            <w:vAlign w:val="center"/>
          </w:tcPr>
          <w:p w:rsidR="00B95F7A" w:rsidRPr="004628CE" w:rsidRDefault="00B95F7A" w:rsidP="00B95F7A">
            <w:pPr>
              <w:pStyle w:val="ad"/>
              <w:spacing w:line="276" w:lineRule="auto"/>
              <w:ind w:leftChars="0" w:left="0"/>
              <w:jc w:val="both"/>
              <w:rPr>
                <w:rFonts w:eastAsia="標楷體"/>
                <w:lang w:val="en-US" w:eastAsia="zh-TW"/>
              </w:rPr>
            </w:pPr>
            <w:r w:rsidRPr="004628CE">
              <w:rPr>
                <w:rFonts w:eastAsia="標楷體"/>
                <w:lang w:val="en-US" w:eastAsia="zh-TW"/>
              </w:rPr>
              <w:t>第五章、保險費率釐訂</w:t>
            </w:r>
          </w:p>
        </w:tc>
        <w:tc>
          <w:tcPr>
            <w:tcW w:w="1774" w:type="dxa"/>
          </w:tcPr>
          <w:p w:rsidR="00B95F7A" w:rsidRPr="00A03692" w:rsidRDefault="00B95F7A" w:rsidP="00B95F7A">
            <w:pPr>
              <w:spacing w:line="276" w:lineRule="auto"/>
              <w:ind w:leftChars="-16" w:left="-38" w:rightChars="-25" w:right="-60"/>
              <w:jc w:val="both"/>
              <w:rPr>
                <w:rFonts w:eastAsia="標楷體"/>
              </w:rPr>
            </w:pPr>
          </w:p>
        </w:tc>
      </w:tr>
      <w:tr w:rsidR="006B71BC" w:rsidRPr="0092606B" w:rsidTr="006A1052">
        <w:trPr>
          <w:trHeight w:val="1195"/>
        </w:trPr>
        <w:tc>
          <w:tcPr>
            <w:tcW w:w="3720" w:type="dxa"/>
          </w:tcPr>
          <w:p w:rsidR="006B71BC" w:rsidRPr="004628CE" w:rsidRDefault="006B71BC" w:rsidP="006B71BC">
            <w:pPr>
              <w:spacing w:line="276" w:lineRule="auto"/>
              <w:ind w:left="492" w:hangingChars="205" w:hanging="492"/>
              <w:jc w:val="both"/>
              <w:rPr>
                <w:rFonts w:eastAsia="標楷體"/>
              </w:rPr>
            </w:pPr>
            <w:r w:rsidRPr="004628CE">
              <w:rPr>
                <w:rFonts w:eastAsia="標楷體"/>
              </w:rPr>
              <w:t>三十、</w:t>
            </w:r>
            <w:r w:rsidR="001906F8" w:rsidRPr="004628CE">
              <w:rPr>
                <w:rFonts w:eastAsia="標楷體" w:hint="eastAsia"/>
              </w:rPr>
              <w:t>簽證精算人員應說明保險費率釐訂檢視所採用之測試方法，</w:t>
            </w:r>
            <w:r w:rsidR="001906F8" w:rsidRPr="001906F8">
              <w:rPr>
                <w:rFonts w:eastAsia="標楷體" w:hint="eastAsia"/>
                <w:u w:val="single"/>
              </w:rPr>
              <w:t>各險商品應增列依據人身保險商品審查應注意事項所規定之最新</w:t>
            </w:r>
            <w:r w:rsidR="001906F8" w:rsidRPr="001906F8">
              <w:rPr>
                <w:rFonts w:ascii="標楷體" w:eastAsia="標楷體" w:hAnsi="標楷體" w:hint="eastAsia"/>
                <w:u w:val="single"/>
              </w:rPr>
              <w:t>「</w:t>
            </w:r>
            <w:r w:rsidR="001906F8" w:rsidRPr="001906F8">
              <w:rPr>
                <w:rFonts w:eastAsia="標楷體" w:hint="eastAsia"/>
                <w:u w:val="single"/>
              </w:rPr>
              <w:t>主管機關指定之利率</w:t>
            </w:r>
            <w:r w:rsidR="001906F8" w:rsidRPr="001906F8">
              <w:rPr>
                <w:rFonts w:ascii="標楷體" w:eastAsia="標楷體" w:hAnsi="標楷體" w:hint="eastAsia"/>
                <w:u w:val="single"/>
              </w:rPr>
              <w:t>」</w:t>
            </w:r>
            <w:r w:rsidR="001906F8" w:rsidRPr="001906F8">
              <w:rPr>
                <w:rFonts w:eastAsia="標楷體" w:hint="eastAsia"/>
                <w:u w:val="single"/>
              </w:rPr>
              <w:t>計算邊際利潤，且利率變動型商品應依據人身保險業辦理利率變動型保險商品業務應注意事項之規定，額外增列現金流量測試法之評估，</w:t>
            </w:r>
            <w:r w:rsidR="001906F8" w:rsidRPr="001906F8">
              <w:rPr>
                <w:rFonts w:eastAsia="標楷體" w:hint="eastAsia"/>
              </w:rPr>
              <w:t>並</w:t>
            </w:r>
            <w:r w:rsidR="001906F8" w:rsidRPr="001906F8">
              <w:rPr>
                <w:rFonts w:eastAsia="標楷體" w:hint="eastAsia"/>
                <w:u w:val="single"/>
              </w:rPr>
              <w:t>應</w:t>
            </w:r>
            <w:r w:rsidR="001906F8" w:rsidRPr="001906F8">
              <w:rPr>
                <w:rFonts w:eastAsia="標楷體" w:hint="eastAsia"/>
              </w:rPr>
              <w:t>以簽證當</w:t>
            </w:r>
            <w:r w:rsidR="001906F8" w:rsidRPr="004628CE">
              <w:rPr>
                <w:rFonts w:eastAsia="標楷體" w:hint="eastAsia"/>
              </w:rPr>
              <w:t>時之精算假設，檢視銷售中保險商品之費率是否適足，其評價始點應假設於發單前之時點</w:t>
            </w:r>
            <w:r w:rsidR="001906F8" w:rsidRPr="004628CE">
              <w:rPr>
                <w:rFonts w:eastAsia="標楷體" w:hint="eastAsia"/>
              </w:rPr>
              <w:t>(</w:t>
            </w:r>
            <w:r w:rsidR="001906F8" w:rsidRPr="004628CE">
              <w:rPr>
                <w:rFonts w:eastAsia="標楷體" w:hint="eastAsia"/>
              </w:rPr>
              <w:t>即</w:t>
            </w:r>
            <w:r w:rsidR="001906F8" w:rsidRPr="004628CE">
              <w:rPr>
                <w:rFonts w:eastAsia="標楷體" w:hint="eastAsia"/>
              </w:rPr>
              <w:t>t=0</w:t>
            </w:r>
            <w:r w:rsidR="001906F8" w:rsidRPr="004628CE">
              <w:rPr>
                <w:rFonts w:eastAsia="標楷體" w:hint="eastAsia"/>
              </w:rPr>
              <w:t>，其中</w:t>
            </w:r>
            <w:r w:rsidR="001906F8" w:rsidRPr="004628CE">
              <w:rPr>
                <w:rFonts w:eastAsia="標楷體" w:hint="eastAsia"/>
              </w:rPr>
              <w:t>t</w:t>
            </w:r>
            <w:r w:rsidR="001906F8" w:rsidRPr="004628CE">
              <w:rPr>
                <w:rFonts w:eastAsia="標楷體" w:hint="eastAsia"/>
              </w:rPr>
              <w:t>為保單年度</w:t>
            </w:r>
            <w:r w:rsidR="001906F8" w:rsidRPr="004628CE">
              <w:rPr>
                <w:rFonts w:eastAsia="標楷體" w:hint="eastAsia"/>
              </w:rPr>
              <w:t>)</w:t>
            </w:r>
            <w:r w:rsidR="001906F8" w:rsidRPr="004628CE">
              <w:rPr>
                <w:rFonts w:eastAsia="標楷體" w:hint="eastAsia"/>
              </w:rPr>
              <w:t>。</w:t>
            </w:r>
          </w:p>
          <w:p w:rsidR="006B71BC" w:rsidRPr="004628CE" w:rsidRDefault="006B71BC" w:rsidP="006B71BC">
            <w:pPr>
              <w:spacing w:line="276" w:lineRule="auto"/>
              <w:ind w:leftChars="205" w:left="492" w:firstLine="2"/>
              <w:jc w:val="both"/>
              <w:rPr>
                <w:rFonts w:eastAsia="標楷體"/>
              </w:rPr>
            </w:pPr>
            <w:r w:rsidRPr="004628CE">
              <w:rPr>
                <w:rFonts w:eastAsia="標楷體" w:hAnsi="標楷體"/>
              </w:rPr>
              <w:t>前項保險商品如為分紅保險商品，應檢視依銷售當時揭露最可能紅利金額發放下之保險費率適足性。</w:t>
            </w:r>
          </w:p>
        </w:tc>
        <w:tc>
          <w:tcPr>
            <w:tcW w:w="3720" w:type="dxa"/>
          </w:tcPr>
          <w:p w:rsidR="006B71BC" w:rsidRPr="004628CE" w:rsidRDefault="006B71BC" w:rsidP="006B71BC">
            <w:pPr>
              <w:spacing w:line="276" w:lineRule="auto"/>
              <w:ind w:left="492" w:hangingChars="205" w:hanging="492"/>
              <w:jc w:val="both"/>
              <w:rPr>
                <w:rFonts w:eastAsia="標楷體"/>
              </w:rPr>
            </w:pPr>
            <w:r w:rsidRPr="004628CE">
              <w:rPr>
                <w:rFonts w:eastAsia="標楷體"/>
              </w:rPr>
              <w:t>三十、</w:t>
            </w:r>
            <w:r w:rsidRPr="004628CE">
              <w:rPr>
                <w:rFonts w:eastAsia="標楷體" w:hint="eastAsia"/>
              </w:rPr>
              <w:t>簽證精算人員應說明保險費率釐訂檢視所採用之測試方法，並以簽證當時之精算假設，檢視銷售中保險商品之費率是否適足，其評價始點應假設於發單前之時點</w:t>
            </w:r>
            <w:r w:rsidRPr="004628CE">
              <w:rPr>
                <w:rFonts w:eastAsia="標楷體" w:hint="eastAsia"/>
              </w:rPr>
              <w:t>(</w:t>
            </w:r>
            <w:r w:rsidRPr="004628CE">
              <w:rPr>
                <w:rFonts w:eastAsia="標楷體" w:hint="eastAsia"/>
              </w:rPr>
              <w:t>即</w:t>
            </w:r>
            <w:r w:rsidRPr="004628CE">
              <w:rPr>
                <w:rFonts w:eastAsia="標楷體" w:hint="eastAsia"/>
              </w:rPr>
              <w:t>t=0</w:t>
            </w:r>
            <w:r w:rsidRPr="004628CE">
              <w:rPr>
                <w:rFonts w:eastAsia="標楷體" w:hint="eastAsia"/>
              </w:rPr>
              <w:t>，其中</w:t>
            </w:r>
            <w:r w:rsidRPr="004628CE">
              <w:rPr>
                <w:rFonts w:eastAsia="標楷體" w:hint="eastAsia"/>
              </w:rPr>
              <w:t>t</w:t>
            </w:r>
            <w:r w:rsidRPr="004628CE">
              <w:rPr>
                <w:rFonts w:eastAsia="標楷體" w:hint="eastAsia"/>
              </w:rPr>
              <w:t>為保單年度</w:t>
            </w:r>
            <w:r w:rsidRPr="004628CE">
              <w:rPr>
                <w:rFonts w:eastAsia="標楷體" w:hint="eastAsia"/>
              </w:rPr>
              <w:t>)</w:t>
            </w:r>
            <w:r w:rsidRPr="004628CE">
              <w:rPr>
                <w:rFonts w:eastAsia="標楷體" w:hint="eastAsia"/>
              </w:rPr>
              <w:t>。</w:t>
            </w:r>
          </w:p>
          <w:p w:rsidR="006B71BC" w:rsidRPr="004628CE" w:rsidRDefault="006B71BC" w:rsidP="006B71BC">
            <w:pPr>
              <w:spacing w:line="276" w:lineRule="auto"/>
              <w:ind w:leftChars="205" w:left="492" w:firstLine="2"/>
              <w:jc w:val="both"/>
              <w:rPr>
                <w:rFonts w:eastAsia="標楷體"/>
              </w:rPr>
            </w:pPr>
            <w:r w:rsidRPr="004628CE">
              <w:rPr>
                <w:rFonts w:eastAsia="標楷體" w:hAnsi="標楷體"/>
              </w:rPr>
              <w:t>前項保險商品如為分紅保險商品，應檢視依銷售當時揭露最可能紅利金額發放下之保險費率適足性。</w:t>
            </w:r>
          </w:p>
        </w:tc>
        <w:tc>
          <w:tcPr>
            <w:tcW w:w="1774" w:type="dxa"/>
          </w:tcPr>
          <w:p w:rsidR="006B71BC" w:rsidRPr="00A03692" w:rsidRDefault="006B71BC" w:rsidP="00FA7127">
            <w:pPr>
              <w:spacing w:line="276" w:lineRule="auto"/>
              <w:ind w:leftChars="-16" w:left="-38" w:rightChars="-25" w:right="-60"/>
              <w:jc w:val="both"/>
              <w:rPr>
                <w:rFonts w:eastAsia="標楷體"/>
              </w:rPr>
            </w:pPr>
            <w:r w:rsidRPr="00A03692">
              <w:rPr>
                <w:rFonts w:eastAsia="標楷體"/>
              </w:rPr>
              <w:t>為能落實公司商品定價及後續評估具一致性，</w:t>
            </w:r>
            <w:r w:rsidR="005C5642" w:rsidRPr="00A03692">
              <w:rPr>
                <w:rFonts w:eastAsia="標楷體" w:hint="eastAsia"/>
              </w:rPr>
              <w:t>明確規範各險商品利潤分析應依最新定價規範增列所須評估</w:t>
            </w:r>
            <w:r w:rsidR="0092606B" w:rsidRPr="00A03692">
              <w:rPr>
                <w:rFonts w:eastAsia="標楷體" w:hint="eastAsia"/>
              </w:rPr>
              <w:t>，</w:t>
            </w:r>
            <w:proofErr w:type="gramStart"/>
            <w:r w:rsidR="0092606B" w:rsidRPr="00A03692">
              <w:rPr>
                <w:rFonts w:eastAsia="標楷體" w:hint="eastAsia"/>
              </w:rPr>
              <w:t>俾</w:t>
            </w:r>
            <w:proofErr w:type="gramEnd"/>
            <w:r w:rsidR="0092606B" w:rsidRPr="00A03692">
              <w:rPr>
                <w:rFonts w:eastAsia="標楷體" w:hint="eastAsia"/>
              </w:rPr>
              <w:t>利強化銷售中商品之風險管理</w:t>
            </w:r>
            <w:r w:rsidR="005C5642" w:rsidRPr="00A03692">
              <w:rPr>
                <w:rFonts w:eastAsia="標楷體" w:hint="eastAsia"/>
              </w:rPr>
              <w:t>。</w:t>
            </w:r>
          </w:p>
        </w:tc>
      </w:tr>
      <w:tr w:rsidR="00B95F7A" w:rsidRPr="004628CE" w:rsidTr="006A1052">
        <w:trPr>
          <w:trHeight w:val="454"/>
        </w:trPr>
        <w:tc>
          <w:tcPr>
            <w:tcW w:w="3720" w:type="dxa"/>
            <w:vAlign w:val="center"/>
          </w:tcPr>
          <w:p w:rsidR="00B95F7A" w:rsidRPr="004628CE" w:rsidRDefault="00B95F7A" w:rsidP="00B95F7A">
            <w:pPr>
              <w:pStyle w:val="ad"/>
              <w:spacing w:line="276" w:lineRule="auto"/>
              <w:ind w:leftChars="0" w:left="883" w:rightChars="-25" w:right="-60" w:hangingChars="368" w:hanging="883"/>
              <w:jc w:val="both"/>
              <w:rPr>
                <w:rFonts w:eastAsia="標楷體"/>
                <w:lang w:val="en-US" w:eastAsia="zh-TW"/>
              </w:rPr>
            </w:pPr>
            <w:r w:rsidRPr="004628CE">
              <w:rPr>
                <w:rFonts w:eastAsia="標楷體"/>
                <w:lang w:val="en-US" w:eastAsia="zh-TW"/>
              </w:rPr>
              <w:t>第九章、特定商品之準備金適足性測試</w:t>
            </w:r>
          </w:p>
        </w:tc>
        <w:tc>
          <w:tcPr>
            <w:tcW w:w="3720" w:type="dxa"/>
            <w:vAlign w:val="center"/>
          </w:tcPr>
          <w:p w:rsidR="00B95F7A" w:rsidRPr="004628CE" w:rsidRDefault="00B95F7A" w:rsidP="00B95F7A">
            <w:pPr>
              <w:pStyle w:val="ad"/>
              <w:spacing w:line="276" w:lineRule="auto"/>
              <w:ind w:leftChars="0" w:left="883" w:rightChars="-16" w:right="-38" w:hangingChars="368" w:hanging="883"/>
              <w:jc w:val="both"/>
              <w:rPr>
                <w:rFonts w:eastAsia="標楷體"/>
                <w:lang w:val="en-US" w:eastAsia="zh-TW"/>
              </w:rPr>
            </w:pPr>
            <w:r w:rsidRPr="004628CE">
              <w:rPr>
                <w:rFonts w:eastAsia="標楷體"/>
                <w:lang w:val="en-US" w:eastAsia="zh-TW"/>
              </w:rPr>
              <w:t>第九章、特定商品之準備金適足性測試</w:t>
            </w:r>
          </w:p>
        </w:tc>
        <w:tc>
          <w:tcPr>
            <w:tcW w:w="1774" w:type="dxa"/>
            <w:vAlign w:val="center"/>
          </w:tcPr>
          <w:p w:rsidR="00B95F7A" w:rsidRPr="00A03692" w:rsidRDefault="00B95F7A" w:rsidP="00B95F7A">
            <w:pPr>
              <w:spacing w:line="276" w:lineRule="auto"/>
              <w:ind w:leftChars="-16" w:left="-38" w:rightChars="-25" w:right="-60"/>
              <w:jc w:val="both"/>
              <w:rPr>
                <w:rFonts w:eastAsia="標楷體"/>
              </w:rPr>
            </w:pPr>
          </w:p>
        </w:tc>
      </w:tr>
      <w:tr w:rsidR="0053112E" w:rsidRPr="004628CE" w:rsidTr="00D85A8C">
        <w:trPr>
          <w:trHeight w:val="340"/>
        </w:trPr>
        <w:tc>
          <w:tcPr>
            <w:tcW w:w="3720" w:type="dxa"/>
            <w:vAlign w:val="center"/>
          </w:tcPr>
          <w:p w:rsidR="0053112E" w:rsidRPr="004628CE" w:rsidRDefault="0053112E" w:rsidP="0053112E">
            <w:pPr>
              <w:pStyle w:val="ad"/>
              <w:spacing w:line="276" w:lineRule="auto"/>
              <w:ind w:leftChars="0" w:left="883" w:hangingChars="368" w:hanging="883"/>
              <w:jc w:val="both"/>
              <w:rPr>
                <w:rFonts w:eastAsia="標楷體"/>
                <w:u w:val="single"/>
                <w:lang w:val="en-US" w:eastAsia="zh-TW"/>
              </w:rPr>
            </w:pPr>
            <w:r w:rsidRPr="004628CE">
              <w:rPr>
                <w:rFonts w:eastAsia="標楷體"/>
                <w:u w:val="single"/>
                <w:lang w:val="en-US" w:eastAsia="zh-TW"/>
              </w:rPr>
              <w:t>第</w:t>
            </w:r>
            <w:r w:rsidRPr="004628CE">
              <w:rPr>
                <w:rFonts w:eastAsia="標楷體" w:hint="eastAsia"/>
                <w:u w:val="single"/>
                <w:lang w:val="en-US" w:eastAsia="zh-TW"/>
              </w:rPr>
              <w:t>八</w:t>
            </w:r>
            <w:r w:rsidRPr="004628CE">
              <w:rPr>
                <w:rFonts w:eastAsia="標楷體"/>
                <w:u w:val="single"/>
                <w:lang w:val="en-US" w:eastAsia="zh-TW"/>
              </w:rPr>
              <w:t>節、</w:t>
            </w:r>
            <w:r w:rsidRPr="004628CE">
              <w:rPr>
                <w:rFonts w:eastAsia="標楷體" w:hint="eastAsia"/>
                <w:u w:val="single"/>
                <w:lang w:val="en-US" w:eastAsia="zh-TW"/>
              </w:rPr>
              <w:t>長年期健康保險</w:t>
            </w:r>
            <w:r w:rsidR="00CE6EFC" w:rsidRPr="004628CE">
              <w:rPr>
                <w:rFonts w:eastAsia="標楷體" w:hint="eastAsia"/>
                <w:u w:val="single"/>
                <w:lang w:val="en-US" w:eastAsia="zh-TW"/>
              </w:rPr>
              <w:t>商品</w:t>
            </w:r>
          </w:p>
        </w:tc>
        <w:tc>
          <w:tcPr>
            <w:tcW w:w="3720" w:type="dxa"/>
            <w:vAlign w:val="center"/>
          </w:tcPr>
          <w:p w:rsidR="0053112E" w:rsidRPr="004628CE" w:rsidRDefault="0053112E" w:rsidP="0053112E">
            <w:pPr>
              <w:pStyle w:val="ad"/>
              <w:spacing w:line="276" w:lineRule="auto"/>
              <w:ind w:leftChars="0" w:left="883" w:hangingChars="368" w:hanging="883"/>
              <w:jc w:val="both"/>
              <w:rPr>
                <w:rFonts w:eastAsia="標楷體"/>
                <w:lang w:val="en-US" w:eastAsia="zh-TW"/>
              </w:rPr>
            </w:pPr>
          </w:p>
        </w:tc>
        <w:tc>
          <w:tcPr>
            <w:tcW w:w="1774" w:type="dxa"/>
          </w:tcPr>
          <w:p w:rsidR="0053112E" w:rsidRPr="00A03692" w:rsidRDefault="0053112E" w:rsidP="0053112E">
            <w:pPr>
              <w:pStyle w:val="ad"/>
              <w:spacing w:line="276" w:lineRule="auto"/>
              <w:ind w:leftChars="0" w:left="0"/>
              <w:jc w:val="both"/>
              <w:rPr>
                <w:rFonts w:eastAsia="標楷體"/>
              </w:rPr>
            </w:pPr>
          </w:p>
        </w:tc>
      </w:tr>
      <w:tr w:rsidR="0053112E" w:rsidRPr="004628CE" w:rsidTr="0041288F">
        <w:trPr>
          <w:trHeight w:val="340"/>
        </w:trPr>
        <w:tc>
          <w:tcPr>
            <w:tcW w:w="3720" w:type="dxa"/>
          </w:tcPr>
          <w:p w:rsidR="00925069" w:rsidRDefault="0053112E" w:rsidP="00381363">
            <w:pPr>
              <w:spacing w:line="276" w:lineRule="auto"/>
              <w:ind w:left="492" w:hangingChars="205" w:hanging="492"/>
              <w:jc w:val="both"/>
              <w:rPr>
                <w:rFonts w:eastAsia="標楷體"/>
                <w:u w:val="single"/>
              </w:rPr>
            </w:pPr>
            <w:r w:rsidRPr="004628CE">
              <w:rPr>
                <w:rFonts w:eastAsia="標楷體" w:hint="eastAsia"/>
                <w:u w:val="single"/>
              </w:rPr>
              <w:t>六</w:t>
            </w:r>
            <w:r w:rsidRPr="004628CE">
              <w:rPr>
                <w:rFonts w:eastAsia="標楷體"/>
                <w:u w:val="single"/>
              </w:rPr>
              <w:t>十三</w:t>
            </w:r>
            <w:r w:rsidRPr="004628CE">
              <w:rPr>
                <w:rFonts w:eastAsia="標楷體" w:hint="eastAsia"/>
                <w:u w:val="single"/>
              </w:rPr>
              <w:t>之二</w:t>
            </w:r>
            <w:r w:rsidRPr="004628CE">
              <w:rPr>
                <w:rFonts w:eastAsia="標楷體"/>
                <w:u w:val="single"/>
              </w:rPr>
              <w:t>、</w:t>
            </w:r>
            <w:r w:rsidRPr="004628CE">
              <w:rPr>
                <w:rFonts w:eastAsia="標楷體" w:hint="eastAsia"/>
                <w:u w:val="single"/>
              </w:rPr>
              <w:t>簽證精算人員應單獨針對長年期健康保險之準備金適足性適當表達精算意見，</w:t>
            </w:r>
            <w:r w:rsidR="00E119C2">
              <w:rPr>
                <w:rFonts w:eastAsia="標楷體" w:hint="eastAsia"/>
                <w:u w:val="single"/>
              </w:rPr>
              <w:t>至少應</w:t>
            </w:r>
            <w:r w:rsidRPr="004628CE">
              <w:rPr>
                <w:rFonts w:eastAsia="標楷體" w:hint="eastAsia"/>
                <w:u w:val="single"/>
              </w:rPr>
              <w:t>包含</w:t>
            </w:r>
            <w:r w:rsidR="00E119C2">
              <w:rPr>
                <w:rFonts w:eastAsia="標楷體" w:hint="eastAsia"/>
                <w:u w:val="single"/>
              </w:rPr>
              <w:t>下列各款</w:t>
            </w:r>
            <w:r w:rsidR="00925069">
              <w:rPr>
                <w:rFonts w:eastAsia="標楷體" w:hint="eastAsia"/>
                <w:u w:val="single"/>
              </w:rPr>
              <w:t>：</w:t>
            </w:r>
          </w:p>
          <w:p w:rsidR="00925069" w:rsidRDefault="00BC1839" w:rsidP="008519DB">
            <w:pPr>
              <w:numPr>
                <w:ilvl w:val="0"/>
                <w:numId w:val="108"/>
              </w:numPr>
              <w:spacing w:line="276" w:lineRule="auto"/>
              <w:jc w:val="both"/>
              <w:rPr>
                <w:rFonts w:eastAsia="標楷體"/>
                <w:u w:val="single"/>
              </w:rPr>
            </w:pPr>
            <w:r w:rsidRPr="00925069">
              <w:rPr>
                <w:rFonts w:eastAsia="標楷體" w:hint="eastAsia"/>
                <w:u w:val="single"/>
              </w:rPr>
              <w:t>針對</w:t>
            </w:r>
            <w:r w:rsidRPr="00BC1839">
              <w:rPr>
                <w:rFonts w:eastAsia="標楷體" w:hint="eastAsia"/>
                <w:u w:val="single"/>
              </w:rPr>
              <w:t>損失率明顯惡化</w:t>
            </w:r>
            <w:r>
              <w:rPr>
                <w:rFonts w:eastAsia="標楷體" w:hint="eastAsia"/>
                <w:u w:val="single"/>
              </w:rPr>
              <w:t>但</w:t>
            </w:r>
            <w:r w:rsidRPr="00925069">
              <w:rPr>
                <w:rFonts w:eastAsia="標楷體" w:hint="eastAsia"/>
                <w:u w:val="single"/>
              </w:rPr>
              <w:t>公司</w:t>
            </w:r>
            <w:r>
              <w:rPr>
                <w:rFonts w:eastAsia="標楷體" w:hint="eastAsia"/>
                <w:u w:val="single"/>
              </w:rPr>
              <w:t>仍在</w:t>
            </w:r>
            <w:r w:rsidRPr="00925069">
              <w:rPr>
                <w:rFonts w:eastAsia="標楷體" w:hint="eastAsia"/>
                <w:u w:val="single"/>
              </w:rPr>
              <w:t>不調整費率</w:t>
            </w:r>
            <w:r>
              <w:rPr>
                <w:rFonts w:eastAsia="標楷體" w:hint="eastAsia"/>
                <w:u w:val="single"/>
              </w:rPr>
              <w:t>下</w:t>
            </w:r>
            <w:r w:rsidRPr="00925069">
              <w:rPr>
                <w:rFonts w:eastAsia="標楷體" w:hint="eastAsia"/>
                <w:u w:val="single"/>
              </w:rPr>
              <w:t>繼續銷售之個別商品，若有準備金不適足者</w:t>
            </w:r>
            <w:r w:rsidRPr="006F2131">
              <w:rPr>
                <w:rFonts w:eastAsia="標楷體" w:hint="eastAsia"/>
                <w:u w:val="single"/>
              </w:rPr>
              <w:t>，</w:t>
            </w:r>
            <w:r w:rsidR="006F2131" w:rsidRPr="00C223CC">
              <w:rPr>
                <w:rFonts w:eastAsia="標楷體" w:hAnsi="標楷體"/>
                <w:u w:val="single"/>
              </w:rPr>
              <w:t>應提</w:t>
            </w:r>
            <w:r w:rsidR="006F2131" w:rsidRPr="00C223CC">
              <w:rPr>
                <w:rFonts w:eastAsia="標楷體" w:hAnsi="標楷體"/>
                <w:u w:val="single"/>
              </w:rPr>
              <w:lastRenderedPageBreak/>
              <w:t>供</w:t>
            </w:r>
            <w:r w:rsidR="00243CB5">
              <w:rPr>
                <w:rFonts w:eastAsia="標楷體" w:hAnsi="標楷體" w:hint="eastAsia"/>
                <w:u w:val="single"/>
              </w:rPr>
              <w:t>簽署</w:t>
            </w:r>
            <w:r w:rsidR="006F2131" w:rsidRPr="00C223CC">
              <w:rPr>
                <w:rFonts w:eastAsia="標楷體" w:hAnsi="標楷體"/>
                <w:u w:val="single"/>
              </w:rPr>
              <w:t>公司達準備金適足性標準所需立即增提之準備金金額。</w:t>
            </w:r>
          </w:p>
          <w:p w:rsidR="00EF74DF" w:rsidRPr="004628CE" w:rsidRDefault="0053112E" w:rsidP="00EF74DF">
            <w:pPr>
              <w:numPr>
                <w:ilvl w:val="0"/>
                <w:numId w:val="108"/>
              </w:numPr>
              <w:spacing w:line="276" w:lineRule="auto"/>
              <w:jc w:val="both"/>
              <w:rPr>
                <w:rFonts w:eastAsia="標楷體"/>
              </w:rPr>
            </w:pPr>
            <w:r w:rsidRPr="00925069">
              <w:rPr>
                <w:rFonts w:eastAsia="標楷體" w:hint="eastAsia"/>
                <w:u w:val="single"/>
              </w:rPr>
              <w:t>針對</w:t>
            </w:r>
            <w:r w:rsidR="00C92700" w:rsidRPr="00BC1839">
              <w:rPr>
                <w:rFonts w:eastAsia="標楷體" w:hint="eastAsia"/>
                <w:u w:val="single"/>
              </w:rPr>
              <w:t>損失率明顯惡化</w:t>
            </w:r>
            <w:r w:rsidR="00925069">
              <w:rPr>
                <w:rFonts w:eastAsia="標楷體" w:hint="eastAsia"/>
                <w:u w:val="single"/>
              </w:rPr>
              <w:t>之</w:t>
            </w:r>
            <w:r w:rsidRPr="00925069">
              <w:rPr>
                <w:rFonts w:eastAsia="標楷體" w:hint="eastAsia"/>
                <w:u w:val="single"/>
              </w:rPr>
              <w:t>長年期健康保險商品，應提</w:t>
            </w:r>
            <w:r w:rsidR="00C92700">
              <w:rPr>
                <w:rFonts w:eastAsia="標楷體" w:hint="eastAsia"/>
                <w:u w:val="single"/>
              </w:rPr>
              <w:t>具</w:t>
            </w:r>
            <w:r w:rsidRPr="00925069">
              <w:rPr>
                <w:rFonts w:eastAsia="標楷體" w:hint="eastAsia"/>
                <w:u w:val="single"/>
              </w:rPr>
              <w:t>準備金監控機制，</w:t>
            </w:r>
            <w:r w:rsidR="00233D21">
              <w:rPr>
                <w:rFonts w:eastAsia="標楷體" w:hint="eastAsia"/>
                <w:u w:val="single"/>
              </w:rPr>
              <w:t>若</w:t>
            </w:r>
            <w:r w:rsidRPr="00925069">
              <w:rPr>
                <w:rFonts w:eastAsia="標楷體" w:hint="eastAsia"/>
                <w:u w:val="single"/>
              </w:rPr>
              <w:t>準備金測試結果超過監控標準時</w:t>
            </w:r>
            <w:r w:rsidRPr="006F2131">
              <w:rPr>
                <w:rFonts w:eastAsia="標楷體" w:hint="eastAsia"/>
                <w:u w:val="single"/>
              </w:rPr>
              <w:t>，</w:t>
            </w:r>
            <w:r w:rsidR="006F2131" w:rsidRPr="00C223CC">
              <w:rPr>
                <w:rFonts w:eastAsia="標楷體" w:hAnsi="標楷體"/>
                <w:u w:val="single"/>
              </w:rPr>
              <w:t>應提供</w:t>
            </w:r>
            <w:r w:rsidR="00243CB5">
              <w:rPr>
                <w:rFonts w:eastAsia="標楷體" w:hAnsi="標楷體" w:hint="eastAsia"/>
                <w:u w:val="single"/>
              </w:rPr>
              <w:t>簽署</w:t>
            </w:r>
            <w:r w:rsidR="006F2131" w:rsidRPr="00C223CC">
              <w:rPr>
                <w:rFonts w:eastAsia="標楷體" w:hAnsi="標楷體"/>
                <w:u w:val="single"/>
              </w:rPr>
              <w:t>公司達準備金適足性標準所需立即增提之準備金金額。</w:t>
            </w:r>
          </w:p>
        </w:tc>
        <w:tc>
          <w:tcPr>
            <w:tcW w:w="3720" w:type="dxa"/>
          </w:tcPr>
          <w:p w:rsidR="0053112E" w:rsidRPr="004628CE" w:rsidRDefault="0053112E" w:rsidP="0053112E">
            <w:pPr>
              <w:spacing w:line="276" w:lineRule="auto"/>
              <w:ind w:left="972" w:rightChars="-16" w:right="-38" w:hangingChars="405" w:hanging="972"/>
              <w:jc w:val="both"/>
              <w:rPr>
                <w:rFonts w:eastAsia="標楷體"/>
              </w:rPr>
            </w:pPr>
          </w:p>
        </w:tc>
        <w:tc>
          <w:tcPr>
            <w:tcW w:w="1774" w:type="dxa"/>
          </w:tcPr>
          <w:p w:rsidR="00C563FF" w:rsidRPr="007D7233" w:rsidRDefault="00C563FF" w:rsidP="00C563FF">
            <w:pPr>
              <w:spacing w:line="276" w:lineRule="auto"/>
              <w:ind w:leftChars="-16" w:left="-38" w:rightChars="-25" w:right="-60"/>
              <w:jc w:val="both"/>
              <w:rPr>
                <w:rFonts w:eastAsia="標楷體"/>
              </w:rPr>
            </w:pPr>
            <w:proofErr w:type="gramStart"/>
            <w:r w:rsidRPr="007D7233">
              <w:rPr>
                <w:rFonts w:eastAsia="標楷體" w:hint="eastAsia"/>
              </w:rPr>
              <w:t>鑑</w:t>
            </w:r>
            <w:proofErr w:type="gramEnd"/>
            <w:r w:rsidRPr="007D7233">
              <w:rPr>
                <w:rFonts w:eastAsia="標楷體" w:hint="eastAsia"/>
              </w:rPr>
              <w:t>於長年期健康保險之未來理賠風險較不具確定性，</w:t>
            </w:r>
            <w:proofErr w:type="gramStart"/>
            <w:r w:rsidRPr="007D7233">
              <w:rPr>
                <w:rFonts w:eastAsia="標楷體" w:hint="eastAsia"/>
              </w:rPr>
              <w:t>爰</w:t>
            </w:r>
            <w:proofErr w:type="gramEnd"/>
            <w:r w:rsidRPr="007D7233">
              <w:rPr>
                <w:rFonts w:eastAsia="標楷體" w:hint="eastAsia"/>
              </w:rPr>
              <w:t>分別於第一款及第二款增訂以下規範，以強化該類商品之準</w:t>
            </w:r>
            <w:r w:rsidRPr="007D7233">
              <w:rPr>
                <w:rFonts w:eastAsia="標楷體" w:hint="eastAsia"/>
              </w:rPr>
              <w:lastRenderedPageBreak/>
              <w:t>備金適足性：</w:t>
            </w:r>
          </w:p>
          <w:p w:rsidR="00C563FF" w:rsidRPr="00C223CC" w:rsidRDefault="00C563FF" w:rsidP="00C223CC">
            <w:pPr>
              <w:spacing w:line="276" w:lineRule="auto"/>
              <w:ind w:leftChars="-16" w:left="154" w:rightChars="-25" w:right="-60" w:hangingChars="80" w:hanging="192"/>
              <w:jc w:val="both"/>
              <w:rPr>
                <w:rFonts w:eastAsia="標楷體"/>
              </w:rPr>
            </w:pPr>
            <w:r w:rsidRPr="007D7233">
              <w:rPr>
                <w:rFonts w:eastAsia="標楷體" w:hint="eastAsia"/>
              </w:rPr>
              <w:t>1.</w:t>
            </w:r>
            <w:r w:rsidRPr="007D7233">
              <w:rPr>
                <w:rFonts w:eastAsia="標楷體" w:hint="eastAsia"/>
              </w:rPr>
              <w:t>銷售中之商品已有理賠率惡化現象</w:t>
            </w:r>
            <w:r w:rsidRPr="00C223CC">
              <w:rPr>
                <w:rFonts w:eastAsia="標楷體" w:hint="eastAsia"/>
              </w:rPr>
              <w:t>，但仍擬繼續銷售且不調整費率時，</w:t>
            </w:r>
            <w:r w:rsidR="006F2131" w:rsidRPr="00C223CC">
              <w:rPr>
                <w:rFonts w:eastAsia="標楷體"/>
              </w:rPr>
              <w:t>應</w:t>
            </w:r>
            <w:r w:rsidR="006F2131" w:rsidRPr="00C223CC">
              <w:rPr>
                <w:rFonts w:eastAsia="標楷體" w:hAnsi="標楷體"/>
              </w:rPr>
              <w:t>提供所</w:t>
            </w:r>
            <w:r w:rsidR="00243CB5">
              <w:rPr>
                <w:rFonts w:eastAsia="標楷體" w:hAnsi="標楷體" w:hint="eastAsia"/>
              </w:rPr>
              <w:t>簽署</w:t>
            </w:r>
            <w:r w:rsidR="006F2131" w:rsidRPr="00C223CC">
              <w:rPr>
                <w:rFonts w:eastAsia="標楷體" w:hAnsi="標楷體"/>
              </w:rPr>
              <w:t>公司達準備金適足性標準所需立即增提之準備金金額</w:t>
            </w:r>
            <w:r w:rsidR="006F2131" w:rsidRPr="00C223CC">
              <w:rPr>
                <w:rFonts w:ascii="新細明體" w:hAnsi="新細明體" w:hint="eastAsia"/>
              </w:rPr>
              <w:t>，</w:t>
            </w:r>
            <w:r w:rsidR="00C223CC">
              <w:rPr>
                <w:rFonts w:ascii="標楷體" w:eastAsia="標楷體" w:hAnsi="標楷體" w:hint="eastAsia"/>
              </w:rPr>
              <w:t>供公司擬定</w:t>
            </w:r>
            <w:r w:rsidR="006F2131" w:rsidRPr="00C223CC">
              <w:rPr>
                <w:rFonts w:eastAsia="標楷體" w:hAnsi="標楷體" w:hint="eastAsia"/>
              </w:rPr>
              <w:t>補</w:t>
            </w:r>
            <w:r w:rsidR="00EF74DF">
              <w:rPr>
                <w:rFonts w:eastAsia="標楷體" w:hAnsi="標楷體" w:hint="eastAsia"/>
              </w:rPr>
              <w:t>強</w:t>
            </w:r>
            <w:r w:rsidR="006F2131" w:rsidRPr="00C223CC">
              <w:rPr>
                <w:rFonts w:eastAsia="標楷體" w:hAnsi="標楷體" w:hint="eastAsia"/>
              </w:rPr>
              <w:t>計畫</w:t>
            </w:r>
            <w:r w:rsidR="00C223CC">
              <w:rPr>
                <w:rFonts w:eastAsia="標楷體" w:hAnsi="標楷體" w:hint="eastAsia"/>
              </w:rPr>
              <w:t>參考</w:t>
            </w:r>
            <w:r w:rsidR="006F2131" w:rsidRPr="00C223CC">
              <w:rPr>
                <w:rFonts w:eastAsia="標楷體" w:hint="eastAsia"/>
              </w:rPr>
              <w:t>。</w:t>
            </w:r>
          </w:p>
          <w:p w:rsidR="00B03FA0" w:rsidRPr="007D7233" w:rsidRDefault="00C563FF" w:rsidP="00EF74DF">
            <w:pPr>
              <w:spacing w:line="276" w:lineRule="auto"/>
              <w:ind w:leftChars="-16" w:left="154" w:rightChars="-25" w:right="-60" w:hangingChars="80" w:hanging="192"/>
              <w:jc w:val="both"/>
              <w:rPr>
                <w:rFonts w:eastAsia="標楷體"/>
              </w:rPr>
            </w:pPr>
            <w:r w:rsidRPr="007D7233">
              <w:rPr>
                <w:rFonts w:eastAsia="標楷體" w:hint="eastAsia"/>
              </w:rPr>
              <w:t>2.</w:t>
            </w:r>
            <w:r w:rsidRPr="007D7233">
              <w:rPr>
                <w:rFonts w:eastAsia="標楷體" w:hint="eastAsia"/>
              </w:rPr>
              <w:t>針對已銷售商品如有理賠經驗惡化時，應訂定準備金監控</w:t>
            </w:r>
            <w:r w:rsidRPr="00243CB5">
              <w:rPr>
                <w:rFonts w:eastAsia="標楷體" w:hint="eastAsia"/>
              </w:rPr>
              <w:t>機制</w:t>
            </w:r>
            <w:r w:rsidR="006F2131" w:rsidRPr="00243CB5">
              <w:rPr>
                <w:rFonts w:eastAsia="標楷體" w:hint="eastAsia"/>
              </w:rPr>
              <w:t>，若準備金測試結果超過監控標準，</w:t>
            </w:r>
            <w:r w:rsidR="006F2131" w:rsidRPr="00243CB5">
              <w:rPr>
                <w:rFonts w:eastAsia="標楷體"/>
              </w:rPr>
              <w:t>應</w:t>
            </w:r>
            <w:r w:rsidR="006F2131" w:rsidRPr="00243CB5">
              <w:rPr>
                <w:rFonts w:eastAsia="標楷體" w:hAnsi="標楷體"/>
              </w:rPr>
              <w:t>提供所</w:t>
            </w:r>
            <w:r w:rsidR="00243CB5" w:rsidRPr="00243CB5">
              <w:rPr>
                <w:rFonts w:eastAsia="標楷體" w:hAnsi="標楷體" w:hint="eastAsia"/>
              </w:rPr>
              <w:t>簽署</w:t>
            </w:r>
            <w:r w:rsidR="006F2131" w:rsidRPr="00243CB5">
              <w:rPr>
                <w:rFonts w:eastAsia="標楷體" w:hAnsi="標楷體"/>
              </w:rPr>
              <w:t>公司達準備金適足性標準所需立即增提之準備金金額</w:t>
            </w:r>
            <w:r w:rsidR="006F2131" w:rsidRPr="00243CB5">
              <w:rPr>
                <w:rFonts w:ascii="標楷體" w:eastAsia="標楷體" w:hAnsi="標楷體" w:hint="eastAsia"/>
              </w:rPr>
              <w:t>，</w:t>
            </w:r>
            <w:r w:rsidR="00C223CC" w:rsidRPr="00243CB5">
              <w:rPr>
                <w:rFonts w:ascii="標楷體" w:eastAsia="標楷體" w:hAnsi="標楷體" w:hint="eastAsia"/>
              </w:rPr>
              <w:t>供公司擬定</w:t>
            </w:r>
            <w:r w:rsidR="006F2131" w:rsidRPr="00243CB5">
              <w:rPr>
                <w:rFonts w:eastAsia="標楷體" w:hAnsi="標楷體" w:hint="eastAsia"/>
              </w:rPr>
              <w:t>補</w:t>
            </w:r>
            <w:r w:rsidR="00EF74DF">
              <w:rPr>
                <w:rFonts w:eastAsia="標楷體" w:hAnsi="標楷體" w:hint="eastAsia"/>
              </w:rPr>
              <w:t>強</w:t>
            </w:r>
            <w:r w:rsidR="006F2131" w:rsidRPr="00243CB5">
              <w:rPr>
                <w:rFonts w:eastAsia="標楷體" w:hAnsi="標楷體" w:hint="eastAsia"/>
              </w:rPr>
              <w:t>計畫</w:t>
            </w:r>
            <w:r w:rsidR="00C223CC" w:rsidRPr="00243CB5">
              <w:rPr>
                <w:rFonts w:eastAsia="標楷體" w:hAnsi="標楷體" w:hint="eastAsia"/>
              </w:rPr>
              <w:t>參考</w:t>
            </w:r>
            <w:r w:rsidR="006F2131" w:rsidRPr="00243CB5">
              <w:rPr>
                <w:rFonts w:eastAsia="標楷體" w:hint="eastAsia"/>
              </w:rPr>
              <w:t>。</w:t>
            </w:r>
          </w:p>
        </w:tc>
      </w:tr>
    </w:tbl>
    <w:p w:rsidR="00BE17B0" w:rsidRPr="004628CE" w:rsidRDefault="00BE17B0">
      <w:pPr>
        <w:spacing w:line="276" w:lineRule="auto"/>
        <w:rPr>
          <w:rFonts w:ascii="標楷體" w:eastAsia="標楷體" w:hAnsi="標楷體"/>
        </w:rPr>
      </w:pPr>
    </w:p>
    <w:sectPr w:rsidR="00BE17B0" w:rsidRPr="004628CE">
      <w:footerReference w:type="default" r:id="rId9"/>
      <w:pgSz w:w="11906" w:h="16838" w:code="9"/>
      <w:pgMar w:top="1411" w:right="1411" w:bottom="1411" w:left="1411"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00" w:rsidRDefault="008D5400">
      <w:r>
        <w:separator/>
      </w:r>
    </w:p>
  </w:endnote>
  <w:endnote w:type="continuationSeparator" w:id="0">
    <w:p w:rsidR="008D5400" w:rsidRDefault="008D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43" w:rsidRPr="00CA5C45" w:rsidRDefault="00F73A43">
    <w:pPr>
      <w:pStyle w:val="aa"/>
      <w:jc w:val="center"/>
      <w:rPr>
        <w:rFonts w:eastAsia="標楷體"/>
      </w:rPr>
    </w:pPr>
    <w:r w:rsidRPr="00CA5C45">
      <w:rPr>
        <w:rFonts w:eastAsia="標楷體" w:hAnsi="標楷體"/>
      </w:rPr>
      <w:t>第</w:t>
    </w:r>
    <w:r w:rsidRPr="00CA5C45">
      <w:rPr>
        <w:rFonts w:eastAsia="標楷體"/>
      </w:rPr>
      <w:fldChar w:fldCharType="begin"/>
    </w:r>
    <w:r w:rsidRPr="00CA5C45">
      <w:rPr>
        <w:rFonts w:eastAsia="標楷體"/>
      </w:rPr>
      <w:instrText xml:space="preserve"> PAGE   \* MERGEFORMAT </w:instrText>
    </w:r>
    <w:r w:rsidRPr="00CA5C45">
      <w:rPr>
        <w:rFonts w:eastAsia="標楷體"/>
      </w:rPr>
      <w:fldChar w:fldCharType="separate"/>
    </w:r>
    <w:r w:rsidR="00444820" w:rsidRPr="00444820">
      <w:rPr>
        <w:rFonts w:eastAsia="標楷體"/>
        <w:noProof/>
        <w:lang w:val="zh-TW"/>
      </w:rPr>
      <w:t>8</w:t>
    </w:r>
    <w:r w:rsidRPr="00CA5C45">
      <w:rPr>
        <w:rFonts w:eastAsia="標楷體"/>
      </w:rPr>
      <w:fldChar w:fldCharType="end"/>
    </w:r>
    <w:r w:rsidRPr="00CA5C45">
      <w:rPr>
        <w:rFonts w:eastAsia="標楷體" w:hAnsi="標楷體"/>
      </w:rPr>
      <w:t>頁</w:t>
    </w:r>
  </w:p>
  <w:p w:rsidR="00F73A43" w:rsidRDefault="00F73A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00" w:rsidRDefault="008D5400">
      <w:r>
        <w:separator/>
      </w:r>
    </w:p>
  </w:footnote>
  <w:footnote w:type="continuationSeparator" w:id="0">
    <w:p w:rsidR="008D5400" w:rsidRDefault="008D5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artE997"/>
      </v:shape>
    </w:pict>
  </w:numPicBullet>
  <w:abstractNum w:abstractNumId="0">
    <w:nsid w:val="00014F78"/>
    <w:multiLevelType w:val="hybridMultilevel"/>
    <w:tmpl w:val="F87C3F9C"/>
    <w:lvl w:ilvl="0" w:tplc="6B84195A">
      <w:start w:val="2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2C3C2B"/>
    <w:multiLevelType w:val="hybridMultilevel"/>
    <w:tmpl w:val="F880E6DA"/>
    <w:lvl w:ilvl="0" w:tplc="636C940C">
      <w:start w:val="4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6B1AF4"/>
    <w:multiLevelType w:val="hybridMultilevel"/>
    <w:tmpl w:val="7D44FDAC"/>
    <w:lvl w:ilvl="0" w:tplc="B4747D30">
      <w:start w:val="6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F34510"/>
    <w:multiLevelType w:val="hybridMultilevel"/>
    <w:tmpl w:val="966AE4FC"/>
    <w:lvl w:ilvl="0" w:tplc="B8763824">
      <w:start w:val="2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1C4CFF"/>
    <w:multiLevelType w:val="hybridMultilevel"/>
    <w:tmpl w:val="36F4A06A"/>
    <w:lvl w:ilvl="0" w:tplc="CE58A80A">
      <w:start w:val="3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4F4830"/>
    <w:multiLevelType w:val="hybridMultilevel"/>
    <w:tmpl w:val="3490D116"/>
    <w:lvl w:ilvl="0" w:tplc="580E9D90">
      <w:start w:val="4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CD45AB"/>
    <w:multiLevelType w:val="hybridMultilevel"/>
    <w:tmpl w:val="F438B93E"/>
    <w:lvl w:ilvl="0" w:tplc="9226358E">
      <w:start w:val="2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3431FA"/>
    <w:multiLevelType w:val="hybridMultilevel"/>
    <w:tmpl w:val="06D43F6C"/>
    <w:lvl w:ilvl="0" w:tplc="48507990">
      <w:start w:val="1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607EDC"/>
    <w:multiLevelType w:val="hybridMultilevel"/>
    <w:tmpl w:val="2AD8E8FC"/>
    <w:lvl w:ilvl="0" w:tplc="DA9C4504">
      <w:start w:val="5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9234745"/>
    <w:multiLevelType w:val="hybridMultilevel"/>
    <w:tmpl w:val="E3783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B2C3C64"/>
    <w:multiLevelType w:val="hybridMultilevel"/>
    <w:tmpl w:val="3D9863E4"/>
    <w:lvl w:ilvl="0" w:tplc="1DFA74EE">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B6D74E2"/>
    <w:multiLevelType w:val="hybridMultilevel"/>
    <w:tmpl w:val="A7AAC00A"/>
    <w:lvl w:ilvl="0" w:tplc="6FF22BD0">
      <w:start w:val="5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3A4F57"/>
    <w:multiLevelType w:val="hybridMultilevel"/>
    <w:tmpl w:val="01FA0D6E"/>
    <w:lvl w:ilvl="0" w:tplc="787E1586">
      <w:start w:val="5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02462B9"/>
    <w:multiLevelType w:val="hybridMultilevel"/>
    <w:tmpl w:val="4E020E4E"/>
    <w:lvl w:ilvl="0" w:tplc="D9AEA7F0">
      <w:start w:val="5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C38E5"/>
    <w:multiLevelType w:val="hybridMultilevel"/>
    <w:tmpl w:val="C6926E0C"/>
    <w:lvl w:ilvl="0" w:tplc="9A52A324">
      <w:start w:val="4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56359F"/>
    <w:multiLevelType w:val="hybridMultilevel"/>
    <w:tmpl w:val="A02A0196"/>
    <w:lvl w:ilvl="0" w:tplc="9E8A7F32">
      <w:start w:val="1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5174050"/>
    <w:multiLevelType w:val="hybridMultilevel"/>
    <w:tmpl w:val="3D52CBF2"/>
    <w:lvl w:ilvl="0" w:tplc="6CCC3900">
      <w:start w:val="2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C42463"/>
    <w:multiLevelType w:val="hybridMultilevel"/>
    <w:tmpl w:val="3D52CBF2"/>
    <w:lvl w:ilvl="0" w:tplc="6CCC3900">
      <w:start w:val="2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7683395"/>
    <w:multiLevelType w:val="hybridMultilevel"/>
    <w:tmpl w:val="4552AE4A"/>
    <w:lvl w:ilvl="0" w:tplc="980EDDDE">
      <w:start w:val="5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91586C"/>
    <w:multiLevelType w:val="hybridMultilevel"/>
    <w:tmpl w:val="F1A62074"/>
    <w:lvl w:ilvl="0" w:tplc="E7B470C2">
      <w:start w:val="1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B9431BC"/>
    <w:multiLevelType w:val="hybridMultilevel"/>
    <w:tmpl w:val="4846059C"/>
    <w:lvl w:ilvl="0" w:tplc="D7824D98">
      <w:start w:val="4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DD2A6D"/>
    <w:multiLevelType w:val="hybridMultilevel"/>
    <w:tmpl w:val="C854FAC8"/>
    <w:lvl w:ilvl="0" w:tplc="DA14BFDE">
      <w:start w:val="4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2A36CE"/>
    <w:multiLevelType w:val="multilevel"/>
    <w:tmpl w:val="23DCFE00"/>
    <w:lvl w:ilvl="0">
      <w:start w:val="1"/>
      <w:numFmt w:val="taiwaneseCountingThousand"/>
      <w:lvlText w:val="%1、"/>
      <w:lvlJc w:val="left"/>
      <w:pPr>
        <w:tabs>
          <w:tab w:val="num" w:pos="567"/>
        </w:tabs>
        <w:ind w:left="567" w:hanging="567"/>
      </w:pPr>
      <w:rPr>
        <w:rFonts w:hAnsi="標楷體" w:hint="default"/>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1D050FD6"/>
    <w:multiLevelType w:val="hybridMultilevel"/>
    <w:tmpl w:val="8356EC98"/>
    <w:lvl w:ilvl="0" w:tplc="62A6EE14">
      <w:start w:val="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DC13246"/>
    <w:multiLevelType w:val="hybridMultilevel"/>
    <w:tmpl w:val="B4F478C4"/>
    <w:lvl w:ilvl="0" w:tplc="E22896FE">
      <w:start w:val="6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EB7029C"/>
    <w:multiLevelType w:val="hybridMultilevel"/>
    <w:tmpl w:val="A2FADE98"/>
    <w:lvl w:ilvl="0" w:tplc="2D4AC654">
      <w:start w:val="5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EE27EA2"/>
    <w:multiLevelType w:val="hybridMultilevel"/>
    <w:tmpl w:val="07F4685A"/>
    <w:lvl w:ilvl="0" w:tplc="9DCE93FA">
      <w:start w:val="2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FCD33E7"/>
    <w:multiLevelType w:val="hybridMultilevel"/>
    <w:tmpl w:val="79B46062"/>
    <w:lvl w:ilvl="0" w:tplc="252C6DE4">
      <w:start w:val="1"/>
      <w:numFmt w:val="taiwaneseCountingThousand"/>
      <w:lvlText w:val="（%1）"/>
      <w:lvlJc w:val="left"/>
      <w:pPr>
        <w:tabs>
          <w:tab w:val="num" w:pos="1287"/>
        </w:tabs>
        <w:ind w:left="1287" w:hanging="720"/>
      </w:pPr>
      <w:rPr>
        <w:rFonts w:ascii="Times New Roman" w:hAnsi="Times New Roman" w:cs="Times New Roman" w:hint="default"/>
      </w:rPr>
    </w:lvl>
    <w:lvl w:ilvl="1" w:tplc="04090019" w:tentative="1">
      <w:start w:val="1"/>
      <w:numFmt w:val="ideographTraditional"/>
      <w:lvlText w:val="%2、"/>
      <w:lvlJc w:val="left"/>
      <w:pPr>
        <w:ind w:left="687" w:hanging="480"/>
      </w:pPr>
    </w:lvl>
    <w:lvl w:ilvl="2" w:tplc="0409001B" w:tentative="1">
      <w:start w:val="1"/>
      <w:numFmt w:val="lowerRoman"/>
      <w:lvlText w:val="%3."/>
      <w:lvlJc w:val="right"/>
      <w:pPr>
        <w:ind w:left="1167" w:hanging="480"/>
      </w:pPr>
    </w:lvl>
    <w:lvl w:ilvl="3" w:tplc="0409000F" w:tentative="1">
      <w:start w:val="1"/>
      <w:numFmt w:val="decimal"/>
      <w:lvlText w:val="%4."/>
      <w:lvlJc w:val="left"/>
      <w:pPr>
        <w:ind w:left="1647" w:hanging="480"/>
      </w:pPr>
    </w:lvl>
    <w:lvl w:ilvl="4" w:tplc="04090019" w:tentative="1">
      <w:start w:val="1"/>
      <w:numFmt w:val="ideographTraditional"/>
      <w:lvlText w:val="%5、"/>
      <w:lvlJc w:val="left"/>
      <w:pPr>
        <w:ind w:left="2127" w:hanging="480"/>
      </w:pPr>
    </w:lvl>
    <w:lvl w:ilvl="5" w:tplc="0409001B" w:tentative="1">
      <w:start w:val="1"/>
      <w:numFmt w:val="lowerRoman"/>
      <w:lvlText w:val="%6."/>
      <w:lvlJc w:val="right"/>
      <w:pPr>
        <w:ind w:left="2607" w:hanging="480"/>
      </w:pPr>
    </w:lvl>
    <w:lvl w:ilvl="6" w:tplc="0409000F" w:tentative="1">
      <w:start w:val="1"/>
      <w:numFmt w:val="decimal"/>
      <w:lvlText w:val="%7."/>
      <w:lvlJc w:val="left"/>
      <w:pPr>
        <w:ind w:left="3087" w:hanging="480"/>
      </w:pPr>
    </w:lvl>
    <w:lvl w:ilvl="7" w:tplc="04090019" w:tentative="1">
      <w:start w:val="1"/>
      <w:numFmt w:val="ideographTraditional"/>
      <w:lvlText w:val="%8、"/>
      <w:lvlJc w:val="left"/>
      <w:pPr>
        <w:ind w:left="3567" w:hanging="480"/>
      </w:pPr>
    </w:lvl>
    <w:lvl w:ilvl="8" w:tplc="0409001B" w:tentative="1">
      <w:start w:val="1"/>
      <w:numFmt w:val="lowerRoman"/>
      <w:lvlText w:val="%9."/>
      <w:lvlJc w:val="right"/>
      <w:pPr>
        <w:ind w:left="4047" w:hanging="480"/>
      </w:pPr>
    </w:lvl>
  </w:abstractNum>
  <w:abstractNum w:abstractNumId="28">
    <w:nsid w:val="254207BB"/>
    <w:multiLevelType w:val="hybridMultilevel"/>
    <w:tmpl w:val="63C4ECCC"/>
    <w:lvl w:ilvl="0" w:tplc="93E64D00">
      <w:start w:val="3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6067022"/>
    <w:multiLevelType w:val="hybridMultilevel"/>
    <w:tmpl w:val="298059A4"/>
    <w:lvl w:ilvl="0" w:tplc="5CB86AF2">
      <w:start w:val="2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77C0CF9"/>
    <w:multiLevelType w:val="hybridMultilevel"/>
    <w:tmpl w:val="A306BF06"/>
    <w:lvl w:ilvl="0" w:tplc="ECE0EE9A">
      <w:start w:val="4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8CB20BB"/>
    <w:multiLevelType w:val="hybridMultilevel"/>
    <w:tmpl w:val="AFCE0118"/>
    <w:lvl w:ilvl="0" w:tplc="50CC3ACE">
      <w:start w:val="2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A326BF8"/>
    <w:multiLevelType w:val="hybridMultilevel"/>
    <w:tmpl w:val="C83C373E"/>
    <w:lvl w:ilvl="0" w:tplc="765C16AE">
      <w:start w:val="3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0F0AAF"/>
    <w:multiLevelType w:val="hybridMultilevel"/>
    <w:tmpl w:val="F768EEE6"/>
    <w:lvl w:ilvl="0" w:tplc="8C56602E">
      <w:start w:val="3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CC11A04"/>
    <w:multiLevelType w:val="hybridMultilevel"/>
    <w:tmpl w:val="94E6C20C"/>
    <w:lvl w:ilvl="0" w:tplc="4CD84BA4">
      <w:start w:val="5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D183BAC"/>
    <w:multiLevelType w:val="hybridMultilevel"/>
    <w:tmpl w:val="03C02F06"/>
    <w:lvl w:ilvl="0" w:tplc="F342EEA8">
      <w:start w:val="4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D13A94"/>
    <w:multiLevelType w:val="hybridMultilevel"/>
    <w:tmpl w:val="1E04E968"/>
    <w:lvl w:ilvl="0" w:tplc="FA427484">
      <w:start w:val="5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FBD0FE2"/>
    <w:multiLevelType w:val="hybridMultilevel"/>
    <w:tmpl w:val="EA2055E6"/>
    <w:lvl w:ilvl="0" w:tplc="A0C2A1FA">
      <w:start w:val="4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22853FC"/>
    <w:multiLevelType w:val="hybridMultilevel"/>
    <w:tmpl w:val="2DB2780E"/>
    <w:lvl w:ilvl="0" w:tplc="07661FEE">
      <w:start w:val="7"/>
      <w:numFmt w:val="taiwaneseCountingThousand"/>
      <w:lvlText w:val="第%1節、"/>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25178D5"/>
    <w:multiLevelType w:val="hybridMultilevel"/>
    <w:tmpl w:val="97BC8FF4"/>
    <w:lvl w:ilvl="0" w:tplc="85907E00">
      <w:start w:val="6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25B003F"/>
    <w:multiLevelType w:val="hybridMultilevel"/>
    <w:tmpl w:val="8356EC98"/>
    <w:lvl w:ilvl="0" w:tplc="62A6EE14">
      <w:start w:val="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29B1B03"/>
    <w:multiLevelType w:val="hybridMultilevel"/>
    <w:tmpl w:val="07F4685A"/>
    <w:lvl w:ilvl="0" w:tplc="9DCE93FA">
      <w:start w:val="2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38F440F"/>
    <w:multiLevelType w:val="hybridMultilevel"/>
    <w:tmpl w:val="578898A8"/>
    <w:lvl w:ilvl="0" w:tplc="85B29C7A">
      <w:start w:val="5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393485E"/>
    <w:multiLevelType w:val="hybridMultilevel"/>
    <w:tmpl w:val="E7BCB7BA"/>
    <w:lvl w:ilvl="0" w:tplc="27A2C718">
      <w:start w:val="3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4474050"/>
    <w:multiLevelType w:val="hybridMultilevel"/>
    <w:tmpl w:val="080CF268"/>
    <w:lvl w:ilvl="0" w:tplc="F36ABD3E">
      <w:start w:val="2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6535F1E"/>
    <w:multiLevelType w:val="hybridMultilevel"/>
    <w:tmpl w:val="B3821D32"/>
    <w:lvl w:ilvl="0" w:tplc="02EEC6DC">
      <w:start w:val="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4A3DA2"/>
    <w:multiLevelType w:val="hybridMultilevel"/>
    <w:tmpl w:val="42F084B0"/>
    <w:lvl w:ilvl="0" w:tplc="605ADEF8">
      <w:start w:val="3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9523EBC"/>
    <w:multiLevelType w:val="hybridMultilevel"/>
    <w:tmpl w:val="FABEE4F6"/>
    <w:lvl w:ilvl="0" w:tplc="B7C22DFC">
      <w:start w:val="2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95A6160"/>
    <w:multiLevelType w:val="hybridMultilevel"/>
    <w:tmpl w:val="466AD982"/>
    <w:lvl w:ilvl="0" w:tplc="48507990">
      <w:start w:val="1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A285F8A"/>
    <w:multiLevelType w:val="hybridMultilevel"/>
    <w:tmpl w:val="3D9863E4"/>
    <w:lvl w:ilvl="0" w:tplc="1DFA74EE">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3A371237"/>
    <w:multiLevelType w:val="hybridMultilevel"/>
    <w:tmpl w:val="073850A4"/>
    <w:lvl w:ilvl="0" w:tplc="4642BF1E">
      <w:start w:val="6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A3A7AE9"/>
    <w:multiLevelType w:val="hybridMultilevel"/>
    <w:tmpl w:val="0004E390"/>
    <w:lvl w:ilvl="0" w:tplc="EE164B56">
      <w:start w:val="2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ADB13AE"/>
    <w:multiLevelType w:val="hybridMultilevel"/>
    <w:tmpl w:val="7AF8DB30"/>
    <w:lvl w:ilvl="0" w:tplc="04AEF916">
      <w:start w:val="4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B1B49B3"/>
    <w:multiLevelType w:val="hybridMultilevel"/>
    <w:tmpl w:val="B38CBA68"/>
    <w:lvl w:ilvl="0" w:tplc="9F1A5072">
      <w:start w:val="1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B6A21F9"/>
    <w:multiLevelType w:val="hybridMultilevel"/>
    <w:tmpl w:val="F490F8BE"/>
    <w:lvl w:ilvl="0" w:tplc="29CCBD36">
      <w:start w:val="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BFA3599"/>
    <w:multiLevelType w:val="hybridMultilevel"/>
    <w:tmpl w:val="E4FA0A3C"/>
    <w:lvl w:ilvl="0" w:tplc="300C9E38">
      <w:start w:val="5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D7E3963"/>
    <w:multiLevelType w:val="hybridMultilevel"/>
    <w:tmpl w:val="B3D8F154"/>
    <w:lvl w:ilvl="0" w:tplc="B6383548">
      <w:start w:val="5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F1E11C5"/>
    <w:multiLevelType w:val="hybridMultilevel"/>
    <w:tmpl w:val="E4344B3C"/>
    <w:lvl w:ilvl="0" w:tplc="E81866E2">
      <w:start w:val="7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F5C6024"/>
    <w:multiLevelType w:val="hybridMultilevel"/>
    <w:tmpl w:val="21FABD6A"/>
    <w:lvl w:ilvl="0" w:tplc="4B404514">
      <w:start w:val="6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FAF5FA9"/>
    <w:multiLevelType w:val="hybridMultilevel"/>
    <w:tmpl w:val="59B61882"/>
    <w:lvl w:ilvl="0" w:tplc="E780B9FC">
      <w:start w:val="3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FAF64E7"/>
    <w:multiLevelType w:val="hybridMultilevel"/>
    <w:tmpl w:val="6E146B4C"/>
    <w:lvl w:ilvl="0" w:tplc="E456357E">
      <w:start w:val="5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1EE141C"/>
    <w:multiLevelType w:val="hybridMultilevel"/>
    <w:tmpl w:val="52304A92"/>
    <w:lvl w:ilvl="0" w:tplc="E23EF8C6">
      <w:start w:val="6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31E2202"/>
    <w:multiLevelType w:val="hybridMultilevel"/>
    <w:tmpl w:val="CFA81B88"/>
    <w:lvl w:ilvl="0" w:tplc="9E8E1820">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3">
    <w:nsid w:val="43472F5C"/>
    <w:multiLevelType w:val="hybridMultilevel"/>
    <w:tmpl w:val="223CD19A"/>
    <w:lvl w:ilvl="0" w:tplc="6DFCBB3C">
      <w:start w:val="6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4E83B53"/>
    <w:multiLevelType w:val="hybridMultilevel"/>
    <w:tmpl w:val="377C1202"/>
    <w:lvl w:ilvl="0" w:tplc="05BA2A20">
      <w:start w:val="3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5603DE3"/>
    <w:multiLevelType w:val="hybridMultilevel"/>
    <w:tmpl w:val="C96A9E64"/>
    <w:lvl w:ilvl="0" w:tplc="3912B252">
      <w:start w:val="7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606126A"/>
    <w:multiLevelType w:val="hybridMultilevel"/>
    <w:tmpl w:val="1E80958C"/>
    <w:lvl w:ilvl="0" w:tplc="7110CE0E">
      <w:start w:val="3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61D05B4"/>
    <w:multiLevelType w:val="hybridMultilevel"/>
    <w:tmpl w:val="E95E4780"/>
    <w:lvl w:ilvl="0" w:tplc="4AF4C532">
      <w:start w:val="4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72D4F68"/>
    <w:multiLevelType w:val="hybridMultilevel"/>
    <w:tmpl w:val="13C48B10"/>
    <w:lvl w:ilvl="0" w:tplc="4CEA432E">
      <w:start w:val="5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86D5413"/>
    <w:multiLevelType w:val="hybridMultilevel"/>
    <w:tmpl w:val="3ACA9FA0"/>
    <w:lvl w:ilvl="0" w:tplc="E6CCD2DA">
      <w:start w:val="4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96A375B"/>
    <w:multiLevelType w:val="hybridMultilevel"/>
    <w:tmpl w:val="D29AFED2"/>
    <w:lvl w:ilvl="0" w:tplc="B6ECF3A4">
      <w:start w:val="4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C372B33"/>
    <w:multiLevelType w:val="hybridMultilevel"/>
    <w:tmpl w:val="DEB0ADB0"/>
    <w:lvl w:ilvl="0" w:tplc="0409000F">
      <w:start w:val="1"/>
      <w:numFmt w:val="decimal"/>
      <w:lvlText w:val="%1."/>
      <w:lvlJc w:val="left"/>
      <w:pPr>
        <w:ind w:left="442" w:hanging="480"/>
      </w:p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72">
    <w:nsid w:val="4F4F5E20"/>
    <w:multiLevelType w:val="hybridMultilevel"/>
    <w:tmpl w:val="5A0AA062"/>
    <w:lvl w:ilvl="0" w:tplc="CFA0AEAC">
      <w:start w:val="1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F843FD0"/>
    <w:multiLevelType w:val="hybridMultilevel"/>
    <w:tmpl w:val="80502522"/>
    <w:lvl w:ilvl="0" w:tplc="DDAE0678">
      <w:start w:val="6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08E2C60"/>
    <w:multiLevelType w:val="hybridMultilevel"/>
    <w:tmpl w:val="1696E00C"/>
    <w:lvl w:ilvl="0" w:tplc="1DBAE97A">
      <w:start w:val="6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2D16D16"/>
    <w:multiLevelType w:val="hybridMultilevel"/>
    <w:tmpl w:val="74E4DB16"/>
    <w:lvl w:ilvl="0" w:tplc="FC141518">
      <w:start w:val="2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3A660D9"/>
    <w:multiLevelType w:val="hybridMultilevel"/>
    <w:tmpl w:val="841495CA"/>
    <w:lvl w:ilvl="0" w:tplc="E946DE0A">
      <w:start w:val="2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4D37194"/>
    <w:multiLevelType w:val="hybridMultilevel"/>
    <w:tmpl w:val="1BB0A81C"/>
    <w:lvl w:ilvl="0" w:tplc="C98A36FC">
      <w:start w:val="4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7203CBA"/>
    <w:multiLevelType w:val="hybridMultilevel"/>
    <w:tmpl w:val="EBBC33C6"/>
    <w:lvl w:ilvl="0" w:tplc="474471A2">
      <w:start w:val="4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7536530"/>
    <w:multiLevelType w:val="hybridMultilevel"/>
    <w:tmpl w:val="6FB8453A"/>
    <w:lvl w:ilvl="0" w:tplc="B748E158">
      <w:start w:val="6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7ED73DA"/>
    <w:multiLevelType w:val="hybridMultilevel"/>
    <w:tmpl w:val="9CCA633C"/>
    <w:lvl w:ilvl="0" w:tplc="507CF47A">
      <w:start w:val="3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9CF132A"/>
    <w:multiLevelType w:val="hybridMultilevel"/>
    <w:tmpl w:val="B3F2CD6A"/>
    <w:lvl w:ilvl="0" w:tplc="2B745EF8">
      <w:start w:val="3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C294BF9"/>
    <w:multiLevelType w:val="hybridMultilevel"/>
    <w:tmpl w:val="B300850E"/>
    <w:lvl w:ilvl="0" w:tplc="D0E6930C">
      <w:start w:val="5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D1003A9"/>
    <w:multiLevelType w:val="hybridMultilevel"/>
    <w:tmpl w:val="5218D6E8"/>
    <w:lvl w:ilvl="0" w:tplc="DD48B748">
      <w:start w:val="6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09B7360"/>
    <w:multiLevelType w:val="hybridMultilevel"/>
    <w:tmpl w:val="D8D61AB4"/>
    <w:lvl w:ilvl="0" w:tplc="C544660E">
      <w:start w:val="3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0BB3F08"/>
    <w:multiLevelType w:val="hybridMultilevel"/>
    <w:tmpl w:val="C2DE5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0D62F14"/>
    <w:multiLevelType w:val="hybridMultilevel"/>
    <w:tmpl w:val="8DFED754"/>
    <w:lvl w:ilvl="0" w:tplc="421A6FE2">
      <w:start w:val="1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529327F"/>
    <w:multiLevelType w:val="hybridMultilevel"/>
    <w:tmpl w:val="FDCE9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63A7D8D"/>
    <w:multiLevelType w:val="hybridMultilevel"/>
    <w:tmpl w:val="C6320FE0"/>
    <w:lvl w:ilvl="0" w:tplc="E85477E4">
      <w:start w:val="7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7317DAD"/>
    <w:multiLevelType w:val="hybridMultilevel"/>
    <w:tmpl w:val="9F3C440A"/>
    <w:lvl w:ilvl="0" w:tplc="0E320440">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90">
    <w:nsid w:val="67F90471"/>
    <w:multiLevelType w:val="hybridMultilevel"/>
    <w:tmpl w:val="0C989D9C"/>
    <w:lvl w:ilvl="0" w:tplc="9CB40ECA">
      <w:start w:val="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82A71FD"/>
    <w:multiLevelType w:val="hybridMultilevel"/>
    <w:tmpl w:val="B1EC5314"/>
    <w:lvl w:ilvl="0" w:tplc="8996B10C">
      <w:start w:val="6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9622882"/>
    <w:multiLevelType w:val="hybridMultilevel"/>
    <w:tmpl w:val="5BC654A8"/>
    <w:lvl w:ilvl="0" w:tplc="8CD44322">
      <w:start w:val="6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D2F636D"/>
    <w:multiLevelType w:val="hybridMultilevel"/>
    <w:tmpl w:val="F87C3F9C"/>
    <w:lvl w:ilvl="0" w:tplc="6B84195A">
      <w:start w:val="2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6F0E2B82"/>
    <w:multiLevelType w:val="hybridMultilevel"/>
    <w:tmpl w:val="9A8EC91A"/>
    <w:lvl w:ilvl="0" w:tplc="0409000F">
      <w:start w:val="1"/>
      <w:numFmt w:val="decimal"/>
      <w:lvlText w:val="%1."/>
      <w:lvlJc w:val="left"/>
      <w:pPr>
        <w:ind w:left="442" w:hanging="480"/>
      </w:p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95">
    <w:nsid w:val="6F4D2113"/>
    <w:multiLevelType w:val="hybridMultilevel"/>
    <w:tmpl w:val="B91269BA"/>
    <w:lvl w:ilvl="0" w:tplc="842ACB8C">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ind w:left="687" w:hanging="480"/>
      </w:pPr>
    </w:lvl>
    <w:lvl w:ilvl="2" w:tplc="0409001B" w:tentative="1">
      <w:start w:val="1"/>
      <w:numFmt w:val="lowerRoman"/>
      <w:lvlText w:val="%3."/>
      <w:lvlJc w:val="right"/>
      <w:pPr>
        <w:ind w:left="1167" w:hanging="480"/>
      </w:pPr>
    </w:lvl>
    <w:lvl w:ilvl="3" w:tplc="0409000F" w:tentative="1">
      <w:start w:val="1"/>
      <w:numFmt w:val="decimal"/>
      <w:lvlText w:val="%4."/>
      <w:lvlJc w:val="left"/>
      <w:pPr>
        <w:ind w:left="1647" w:hanging="480"/>
      </w:pPr>
    </w:lvl>
    <w:lvl w:ilvl="4" w:tplc="04090019" w:tentative="1">
      <w:start w:val="1"/>
      <w:numFmt w:val="ideographTraditional"/>
      <w:lvlText w:val="%5、"/>
      <w:lvlJc w:val="left"/>
      <w:pPr>
        <w:ind w:left="2127" w:hanging="480"/>
      </w:pPr>
    </w:lvl>
    <w:lvl w:ilvl="5" w:tplc="0409001B" w:tentative="1">
      <w:start w:val="1"/>
      <w:numFmt w:val="lowerRoman"/>
      <w:lvlText w:val="%6."/>
      <w:lvlJc w:val="right"/>
      <w:pPr>
        <w:ind w:left="2607" w:hanging="480"/>
      </w:pPr>
    </w:lvl>
    <w:lvl w:ilvl="6" w:tplc="0409000F" w:tentative="1">
      <w:start w:val="1"/>
      <w:numFmt w:val="decimal"/>
      <w:lvlText w:val="%7."/>
      <w:lvlJc w:val="left"/>
      <w:pPr>
        <w:ind w:left="3087" w:hanging="480"/>
      </w:pPr>
    </w:lvl>
    <w:lvl w:ilvl="7" w:tplc="04090019" w:tentative="1">
      <w:start w:val="1"/>
      <w:numFmt w:val="ideographTraditional"/>
      <w:lvlText w:val="%8、"/>
      <w:lvlJc w:val="left"/>
      <w:pPr>
        <w:ind w:left="3567" w:hanging="480"/>
      </w:pPr>
    </w:lvl>
    <w:lvl w:ilvl="8" w:tplc="0409001B" w:tentative="1">
      <w:start w:val="1"/>
      <w:numFmt w:val="lowerRoman"/>
      <w:lvlText w:val="%9."/>
      <w:lvlJc w:val="right"/>
      <w:pPr>
        <w:ind w:left="4047" w:hanging="480"/>
      </w:pPr>
    </w:lvl>
  </w:abstractNum>
  <w:abstractNum w:abstractNumId="96">
    <w:nsid w:val="707916E4"/>
    <w:multiLevelType w:val="hybridMultilevel"/>
    <w:tmpl w:val="F0F0DFBA"/>
    <w:lvl w:ilvl="0" w:tplc="8C8095B6">
      <w:start w:val="1"/>
      <w:numFmt w:val="taiwaneseCountingThousand"/>
      <w:lvlText w:val="%1、"/>
      <w:lvlJc w:val="left"/>
      <w:pPr>
        <w:tabs>
          <w:tab w:val="num" w:pos="567"/>
        </w:tabs>
        <w:ind w:left="567" w:hanging="567"/>
      </w:pPr>
      <w:rPr>
        <w:rFonts w:hAnsi="標楷體" w:hint="default"/>
        <w:u w:val="none"/>
        <w:lang w:val="en-US"/>
      </w:rPr>
    </w:lvl>
    <w:lvl w:ilvl="1" w:tplc="26306A94">
      <w:start w:val="2"/>
      <w:numFmt w:val="taiwaneseCountingThousand"/>
      <w:lvlText w:val="第%2節、"/>
      <w:lvlJc w:val="left"/>
      <w:pPr>
        <w:tabs>
          <w:tab w:val="num" w:pos="936"/>
        </w:tabs>
        <w:ind w:left="936" w:hanging="1080"/>
      </w:pPr>
      <w:rPr>
        <w:rFonts w:eastAsia="新細明體"/>
        <w:color w:val="auto"/>
        <w:u w:val="single"/>
      </w:rPr>
    </w:lvl>
    <w:lvl w:ilvl="2" w:tplc="0409001B">
      <w:start w:val="1"/>
      <w:numFmt w:val="decimal"/>
      <w:lvlText w:val="%3."/>
      <w:lvlJc w:val="left"/>
      <w:pPr>
        <w:tabs>
          <w:tab w:val="num" w:pos="1560"/>
        </w:tabs>
        <w:ind w:left="1560" w:hanging="360"/>
      </w:pPr>
    </w:lvl>
    <w:lvl w:ilvl="3" w:tplc="0409000F">
      <w:start w:val="1"/>
      <w:numFmt w:val="decimal"/>
      <w:lvlText w:val="%4."/>
      <w:lvlJc w:val="left"/>
      <w:pPr>
        <w:tabs>
          <w:tab w:val="num" w:pos="2280"/>
        </w:tabs>
        <w:ind w:left="2280" w:hanging="360"/>
      </w:pPr>
    </w:lvl>
    <w:lvl w:ilvl="4" w:tplc="04090019">
      <w:start w:val="1"/>
      <w:numFmt w:val="decimal"/>
      <w:lvlText w:val="%5."/>
      <w:lvlJc w:val="left"/>
      <w:pPr>
        <w:tabs>
          <w:tab w:val="num" w:pos="3000"/>
        </w:tabs>
        <w:ind w:left="3000" w:hanging="360"/>
      </w:pPr>
    </w:lvl>
    <w:lvl w:ilvl="5" w:tplc="0409001B">
      <w:start w:val="1"/>
      <w:numFmt w:val="decimal"/>
      <w:lvlText w:val="%6."/>
      <w:lvlJc w:val="left"/>
      <w:pPr>
        <w:tabs>
          <w:tab w:val="num" w:pos="3720"/>
        </w:tabs>
        <w:ind w:left="3720" w:hanging="360"/>
      </w:pPr>
    </w:lvl>
    <w:lvl w:ilvl="6" w:tplc="0409000F">
      <w:start w:val="1"/>
      <w:numFmt w:val="decimal"/>
      <w:lvlText w:val="%7."/>
      <w:lvlJc w:val="left"/>
      <w:pPr>
        <w:tabs>
          <w:tab w:val="num" w:pos="4440"/>
        </w:tabs>
        <w:ind w:left="4440" w:hanging="360"/>
      </w:pPr>
    </w:lvl>
    <w:lvl w:ilvl="7" w:tplc="04090019">
      <w:start w:val="1"/>
      <w:numFmt w:val="decimal"/>
      <w:lvlText w:val="%8."/>
      <w:lvlJc w:val="left"/>
      <w:pPr>
        <w:tabs>
          <w:tab w:val="num" w:pos="5160"/>
        </w:tabs>
        <w:ind w:left="5160" w:hanging="360"/>
      </w:pPr>
    </w:lvl>
    <w:lvl w:ilvl="8" w:tplc="0409001B">
      <w:start w:val="1"/>
      <w:numFmt w:val="decimal"/>
      <w:lvlText w:val="%9."/>
      <w:lvlJc w:val="left"/>
      <w:pPr>
        <w:tabs>
          <w:tab w:val="num" w:pos="5880"/>
        </w:tabs>
        <w:ind w:left="5880" w:hanging="360"/>
      </w:pPr>
    </w:lvl>
  </w:abstractNum>
  <w:abstractNum w:abstractNumId="97">
    <w:nsid w:val="709F52A2"/>
    <w:multiLevelType w:val="hybridMultilevel"/>
    <w:tmpl w:val="8B361B8C"/>
    <w:lvl w:ilvl="0" w:tplc="BA1C578A">
      <w:start w:val="6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12616FF"/>
    <w:multiLevelType w:val="hybridMultilevel"/>
    <w:tmpl w:val="C9123BFA"/>
    <w:lvl w:ilvl="0" w:tplc="F73E8BC8">
      <w:start w:val="4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3556325"/>
    <w:multiLevelType w:val="hybridMultilevel"/>
    <w:tmpl w:val="B15ED434"/>
    <w:lvl w:ilvl="0" w:tplc="D7580B10">
      <w:start w:val="1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5645E3A"/>
    <w:multiLevelType w:val="hybridMultilevel"/>
    <w:tmpl w:val="4518F5D2"/>
    <w:lvl w:ilvl="0" w:tplc="9D4E1F02">
      <w:start w:val="7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7A53E38"/>
    <w:multiLevelType w:val="hybridMultilevel"/>
    <w:tmpl w:val="4BEAAA20"/>
    <w:lvl w:ilvl="0" w:tplc="43F8DB48">
      <w:start w:val="6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801238A"/>
    <w:multiLevelType w:val="hybridMultilevel"/>
    <w:tmpl w:val="2FCE3FA2"/>
    <w:lvl w:ilvl="0" w:tplc="242E6430">
      <w:start w:val="4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9050A91"/>
    <w:multiLevelType w:val="hybridMultilevel"/>
    <w:tmpl w:val="FDB6B2C0"/>
    <w:lvl w:ilvl="0" w:tplc="6BF62C1E">
      <w:start w:val="5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BA254A9"/>
    <w:multiLevelType w:val="hybridMultilevel"/>
    <w:tmpl w:val="2C24DBE0"/>
    <w:lvl w:ilvl="0" w:tplc="A2762522">
      <w:start w:val="3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C6F7ECB"/>
    <w:multiLevelType w:val="hybridMultilevel"/>
    <w:tmpl w:val="0CFEDE4C"/>
    <w:lvl w:ilvl="0" w:tplc="47062746">
      <w:start w:val="4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DA20D4B"/>
    <w:multiLevelType w:val="hybridMultilevel"/>
    <w:tmpl w:val="49D86D12"/>
    <w:lvl w:ilvl="0" w:tplc="A378A2E0">
      <w:start w:val="5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F21577D"/>
    <w:multiLevelType w:val="hybridMultilevel"/>
    <w:tmpl w:val="23DCFE00"/>
    <w:lvl w:ilvl="0" w:tplc="2408BFDC">
      <w:start w:val="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FC903D0"/>
    <w:multiLevelType w:val="hybridMultilevel"/>
    <w:tmpl w:val="EB940DF0"/>
    <w:lvl w:ilvl="0" w:tplc="055E5936">
      <w:start w:val="6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6"/>
  </w:num>
  <w:num w:numId="2">
    <w:abstractNumId w:val="23"/>
  </w:num>
  <w:num w:numId="3">
    <w:abstractNumId w:val="53"/>
  </w:num>
  <w:num w:numId="4">
    <w:abstractNumId w:val="45"/>
  </w:num>
  <w:num w:numId="5">
    <w:abstractNumId w:val="54"/>
  </w:num>
  <w:num w:numId="6">
    <w:abstractNumId w:val="107"/>
  </w:num>
  <w:num w:numId="7">
    <w:abstractNumId w:val="47"/>
  </w:num>
  <w:num w:numId="8">
    <w:abstractNumId w:val="1"/>
  </w:num>
  <w:num w:numId="9">
    <w:abstractNumId w:val="91"/>
  </w:num>
  <w:num w:numId="10">
    <w:abstractNumId w:val="38"/>
  </w:num>
  <w:num w:numId="11">
    <w:abstractNumId w:val="63"/>
  </w:num>
  <w:num w:numId="12">
    <w:abstractNumId w:val="83"/>
  </w:num>
  <w:num w:numId="13">
    <w:abstractNumId w:val="100"/>
  </w:num>
  <w:num w:numId="14">
    <w:abstractNumId w:val="88"/>
  </w:num>
  <w:num w:numId="15">
    <w:abstractNumId w:val="65"/>
  </w:num>
  <w:num w:numId="16">
    <w:abstractNumId w:val="40"/>
  </w:num>
  <w:num w:numId="17">
    <w:abstractNumId w:val="90"/>
  </w:num>
  <w:num w:numId="18">
    <w:abstractNumId w:val="72"/>
  </w:num>
  <w:num w:numId="19">
    <w:abstractNumId w:val="15"/>
  </w:num>
  <w:num w:numId="20">
    <w:abstractNumId w:val="89"/>
  </w:num>
  <w:num w:numId="21">
    <w:abstractNumId w:val="99"/>
  </w:num>
  <w:num w:numId="22">
    <w:abstractNumId w:val="86"/>
  </w:num>
  <w:num w:numId="23">
    <w:abstractNumId w:val="19"/>
  </w:num>
  <w:num w:numId="24">
    <w:abstractNumId w:val="7"/>
  </w:num>
  <w:num w:numId="25">
    <w:abstractNumId w:val="48"/>
  </w:num>
  <w:num w:numId="26">
    <w:abstractNumId w:val="3"/>
  </w:num>
  <w:num w:numId="27">
    <w:abstractNumId w:val="29"/>
  </w:num>
  <w:num w:numId="28">
    <w:abstractNumId w:val="17"/>
  </w:num>
  <w:num w:numId="29">
    <w:abstractNumId w:val="16"/>
  </w:num>
  <w:num w:numId="30">
    <w:abstractNumId w:val="75"/>
  </w:num>
  <w:num w:numId="31">
    <w:abstractNumId w:val="51"/>
  </w:num>
  <w:num w:numId="32">
    <w:abstractNumId w:val="44"/>
  </w:num>
  <w:num w:numId="33">
    <w:abstractNumId w:val="41"/>
  </w:num>
  <w:num w:numId="34">
    <w:abstractNumId w:val="26"/>
  </w:num>
  <w:num w:numId="35">
    <w:abstractNumId w:val="0"/>
  </w:num>
  <w:num w:numId="36">
    <w:abstractNumId w:val="93"/>
  </w:num>
  <w:num w:numId="37">
    <w:abstractNumId w:val="76"/>
  </w:num>
  <w:num w:numId="38">
    <w:abstractNumId w:val="6"/>
  </w:num>
  <w:num w:numId="39">
    <w:abstractNumId w:val="31"/>
  </w:num>
  <w:num w:numId="40">
    <w:abstractNumId w:val="28"/>
  </w:num>
  <w:num w:numId="41">
    <w:abstractNumId w:val="43"/>
  </w:num>
  <w:num w:numId="42">
    <w:abstractNumId w:val="46"/>
  </w:num>
  <w:num w:numId="43">
    <w:abstractNumId w:val="59"/>
  </w:num>
  <w:num w:numId="44">
    <w:abstractNumId w:val="32"/>
  </w:num>
  <w:num w:numId="45">
    <w:abstractNumId w:val="4"/>
  </w:num>
  <w:num w:numId="46">
    <w:abstractNumId w:val="33"/>
  </w:num>
  <w:num w:numId="47">
    <w:abstractNumId w:val="104"/>
  </w:num>
  <w:num w:numId="48">
    <w:abstractNumId w:val="66"/>
  </w:num>
  <w:num w:numId="49">
    <w:abstractNumId w:val="84"/>
  </w:num>
  <w:num w:numId="50">
    <w:abstractNumId w:val="80"/>
  </w:num>
  <w:num w:numId="51">
    <w:abstractNumId w:val="64"/>
  </w:num>
  <w:num w:numId="52">
    <w:abstractNumId w:val="14"/>
  </w:num>
  <w:num w:numId="53">
    <w:abstractNumId w:val="81"/>
  </w:num>
  <w:num w:numId="54">
    <w:abstractNumId w:val="70"/>
  </w:num>
  <w:num w:numId="55">
    <w:abstractNumId w:val="67"/>
  </w:num>
  <w:num w:numId="56">
    <w:abstractNumId w:val="52"/>
  </w:num>
  <w:num w:numId="57">
    <w:abstractNumId w:val="5"/>
  </w:num>
  <w:num w:numId="58">
    <w:abstractNumId w:val="21"/>
  </w:num>
  <w:num w:numId="59">
    <w:abstractNumId w:val="69"/>
  </w:num>
  <w:num w:numId="60">
    <w:abstractNumId w:val="102"/>
  </w:num>
  <w:num w:numId="61">
    <w:abstractNumId w:val="105"/>
  </w:num>
  <w:num w:numId="62">
    <w:abstractNumId w:val="78"/>
  </w:num>
  <w:num w:numId="63">
    <w:abstractNumId w:val="98"/>
  </w:num>
  <w:num w:numId="64">
    <w:abstractNumId w:val="20"/>
  </w:num>
  <w:num w:numId="65">
    <w:abstractNumId w:val="37"/>
  </w:num>
  <w:num w:numId="66">
    <w:abstractNumId w:val="30"/>
  </w:num>
  <w:num w:numId="67">
    <w:abstractNumId w:val="35"/>
  </w:num>
  <w:num w:numId="68">
    <w:abstractNumId w:val="77"/>
  </w:num>
  <w:num w:numId="69">
    <w:abstractNumId w:val="56"/>
  </w:num>
  <w:num w:numId="70">
    <w:abstractNumId w:val="25"/>
  </w:num>
  <w:num w:numId="71">
    <w:abstractNumId w:val="55"/>
  </w:num>
  <w:num w:numId="72">
    <w:abstractNumId w:val="106"/>
  </w:num>
  <w:num w:numId="73">
    <w:abstractNumId w:val="13"/>
  </w:num>
  <w:num w:numId="74">
    <w:abstractNumId w:val="68"/>
  </w:num>
  <w:num w:numId="75">
    <w:abstractNumId w:val="60"/>
  </w:num>
  <w:num w:numId="76">
    <w:abstractNumId w:val="82"/>
  </w:num>
  <w:num w:numId="77">
    <w:abstractNumId w:val="103"/>
  </w:num>
  <w:num w:numId="78">
    <w:abstractNumId w:val="27"/>
  </w:num>
  <w:num w:numId="79">
    <w:abstractNumId w:val="95"/>
  </w:num>
  <w:num w:numId="80">
    <w:abstractNumId w:val="8"/>
  </w:num>
  <w:num w:numId="81">
    <w:abstractNumId w:val="34"/>
  </w:num>
  <w:num w:numId="82">
    <w:abstractNumId w:val="12"/>
  </w:num>
  <w:num w:numId="83">
    <w:abstractNumId w:val="42"/>
  </w:num>
  <w:num w:numId="84">
    <w:abstractNumId w:val="36"/>
  </w:num>
  <w:num w:numId="85">
    <w:abstractNumId w:val="18"/>
  </w:num>
  <w:num w:numId="86">
    <w:abstractNumId w:val="11"/>
  </w:num>
  <w:num w:numId="87">
    <w:abstractNumId w:val="97"/>
  </w:num>
  <w:num w:numId="88">
    <w:abstractNumId w:val="2"/>
  </w:num>
  <w:num w:numId="89">
    <w:abstractNumId w:val="24"/>
  </w:num>
  <w:num w:numId="90">
    <w:abstractNumId w:val="74"/>
  </w:num>
  <w:num w:numId="91">
    <w:abstractNumId w:val="61"/>
  </w:num>
  <w:num w:numId="92">
    <w:abstractNumId w:val="73"/>
  </w:num>
  <w:num w:numId="93">
    <w:abstractNumId w:val="39"/>
  </w:num>
  <w:num w:numId="94">
    <w:abstractNumId w:val="79"/>
  </w:num>
  <w:num w:numId="95">
    <w:abstractNumId w:val="108"/>
  </w:num>
  <w:num w:numId="96">
    <w:abstractNumId w:val="50"/>
  </w:num>
  <w:num w:numId="97">
    <w:abstractNumId w:val="101"/>
  </w:num>
  <w:num w:numId="98">
    <w:abstractNumId w:val="92"/>
  </w:num>
  <w:num w:numId="99">
    <w:abstractNumId w:val="57"/>
  </w:num>
  <w:num w:numId="100">
    <w:abstractNumId w:val="58"/>
  </w:num>
  <w:num w:numId="101">
    <w:abstractNumId w:val="71"/>
  </w:num>
  <w:num w:numId="102">
    <w:abstractNumId w:val="87"/>
  </w:num>
  <w:num w:numId="103">
    <w:abstractNumId w:val="9"/>
  </w:num>
  <w:num w:numId="104">
    <w:abstractNumId w:val="85"/>
  </w:num>
  <w:num w:numId="105">
    <w:abstractNumId w:val="22"/>
  </w:num>
  <w:num w:numId="106">
    <w:abstractNumId w:val="62"/>
  </w:num>
  <w:num w:numId="107">
    <w:abstractNumId w:val="94"/>
  </w:num>
  <w:num w:numId="108">
    <w:abstractNumId w:val="10"/>
  </w:num>
  <w:num w:numId="109">
    <w:abstractNumId w:val="4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D3"/>
    <w:rsid w:val="000005FC"/>
    <w:rsid w:val="00001853"/>
    <w:rsid w:val="00002D1B"/>
    <w:rsid w:val="00002DEE"/>
    <w:rsid w:val="0000396D"/>
    <w:rsid w:val="0000429A"/>
    <w:rsid w:val="000060B5"/>
    <w:rsid w:val="000106FC"/>
    <w:rsid w:val="000125EE"/>
    <w:rsid w:val="00012778"/>
    <w:rsid w:val="0001792D"/>
    <w:rsid w:val="00020B2B"/>
    <w:rsid w:val="00021E5E"/>
    <w:rsid w:val="00022371"/>
    <w:rsid w:val="00022C70"/>
    <w:rsid w:val="0003053D"/>
    <w:rsid w:val="000325C3"/>
    <w:rsid w:val="00032DF5"/>
    <w:rsid w:val="000340EC"/>
    <w:rsid w:val="0003449E"/>
    <w:rsid w:val="0003460A"/>
    <w:rsid w:val="000356BE"/>
    <w:rsid w:val="00037BE2"/>
    <w:rsid w:val="000419A6"/>
    <w:rsid w:val="000434B0"/>
    <w:rsid w:val="0004414C"/>
    <w:rsid w:val="00046413"/>
    <w:rsid w:val="00046D82"/>
    <w:rsid w:val="000501D8"/>
    <w:rsid w:val="000540BF"/>
    <w:rsid w:val="00054AED"/>
    <w:rsid w:val="000560A9"/>
    <w:rsid w:val="00060F93"/>
    <w:rsid w:val="0006433E"/>
    <w:rsid w:val="00066941"/>
    <w:rsid w:val="000700FF"/>
    <w:rsid w:val="00071959"/>
    <w:rsid w:val="0007403B"/>
    <w:rsid w:val="00076806"/>
    <w:rsid w:val="00081CF1"/>
    <w:rsid w:val="0008262A"/>
    <w:rsid w:val="00082AE1"/>
    <w:rsid w:val="00084B06"/>
    <w:rsid w:val="00085CED"/>
    <w:rsid w:val="0009642B"/>
    <w:rsid w:val="00096944"/>
    <w:rsid w:val="000972F4"/>
    <w:rsid w:val="000A0896"/>
    <w:rsid w:val="000A1833"/>
    <w:rsid w:val="000A2B81"/>
    <w:rsid w:val="000A339A"/>
    <w:rsid w:val="000A3F71"/>
    <w:rsid w:val="000A63F0"/>
    <w:rsid w:val="000A7482"/>
    <w:rsid w:val="000A7B75"/>
    <w:rsid w:val="000B0BDE"/>
    <w:rsid w:val="000B3813"/>
    <w:rsid w:val="000B3FD5"/>
    <w:rsid w:val="000B4619"/>
    <w:rsid w:val="000B72FC"/>
    <w:rsid w:val="000C10BB"/>
    <w:rsid w:val="000D0D57"/>
    <w:rsid w:val="000D4987"/>
    <w:rsid w:val="000D5C94"/>
    <w:rsid w:val="000D6121"/>
    <w:rsid w:val="000E1845"/>
    <w:rsid w:val="000E5771"/>
    <w:rsid w:val="000E6A70"/>
    <w:rsid w:val="000E7AA7"/>
    <w:rsid w:val="000F2497"/>
    <w:rsid w:val="000F2DC9"/>
    <w:rsid w:val="000F356C"/>
    <w:rsid w:val="000F5CED"/>
    <w:rsid w:val="000F6CF1"/>
    <w:rsid w:val="000F6E98"/>
    <w:rsid w:val="0010547D"/>
    <w:rsid w:val="00105DC7"/>
    <w:rsid w:val="0010659F"/>
    <w:rsid w:val="00111104"/>
    <w:rsid w:val="00111EF7"/>
    <w:rsid w:val="00116BCF"/>
    <w:rsid w:val="00117334"/>
    <w:rsid w:val="0011750E"/>
    <w:rsid w:val="00121AD9"/>
    <w:rsid w:val="001231F1"/>
    <w:rsid w:val="0012645D"/>
    <w:rsid w:val="001279A2"/>
    <w:rsid w:val="00131991"/>
    <w:rsid w:val="00132429"/>
    <w:rsid w:val="001335AE"/>
    <w:rsid w:val="00134502"/>
    <w:rsid w:val="001350B7"/>
    <w:rsid w:val="00135AFE"/>
    <w:rsid w:val="00140BC9"/>
    <w:rsid w:val="00141030"/>
    <w:rsid w:val="001412C0"/>
    <w:rsid w:val="001414D0"/>
    <w:rsid w:val="0014253C"/>
    <w:rsid w:val="00143484"/>
    <w:rsid w:val="00144876"/>
    <w:rsid w:val="001473B2"/>
    <w:rsid w:val="00152818"/>
    <w:rsid w:val="00152AF9"/>
    <w:rsid w:val="00164519"/>
    <w:rsid w:val="0016623B"/>
    <w:rsid w:val="001700C0"/>
    <w:rsid w:val="0017369E"/>
    <w:rsid w:val="00173F2E"/>
    <w:rsid w:val="001747CB"/>
    <w:rsid w:val="00174AA5"/>
    <w:rsid w:val="0018082C"/>
    <w:rsid w:val="00182094"/>
    <w:rsid w:val="0018659D"/>
    <w:rsid w:val="0018758F"/>
    <w:rsid w:val="00187DDE"/>
    <w:rsid w:val="001906F8"/>
    <w:rsid w:val="00193609"/>
    <w:rsid w:val="00195E32"/>
    <w:rsid w:val="00197696"/>
    <w:rsid w:val="001A0A8D"/>
    <w:rsid w:val="001A1209"/>
    <w:rsid w:val="001A5C2D"/>
    <w:rsid w:val="001A5DCC"/>
    <w:rsid w:val="001A6790"/>
    <w:rsid w:val="001B35AB"/>
    <w:rsid w:val="001B6AE6"/>
    <w:rsid w:val="001B721C"/>
    <w:rsid w:val="001C50B6"/>
    <w:rsid w:val="001C5554"/>
    <w:rsid w:val="001C5B58"/>
    <w:rsid w:val="001C625D"/>
    <w:rsid w:val="001C6A38"/>
    <w:rsid w:val="001C71CF"/>
    <w:rsid w:val="001C7B18"/>
    <w:rsid w:val="001D27A4"/>
    <w:rsid w:val="001D5B2B"/>
    <w:rsid w:val="001E1195"/>
    <w:rsid w:val="001E3C86"/>
    <w:rsid w:val="001E4534"/>
    <w:rsid w:val="001E4EAF"/>
    <w:rsid w:val="001F1D00"/>
    <w:rsid w:val="001F3317"/>
    <w:rsid w:val="001F62ED"/>
    <w:rsid w:val="001F681C"/>
    <w:rsid w:val="002009A8"/>
    <w:rsid w:val="002105E3"/>
    <w:rsid w:val="00213761"/>
    <w:rsid w:val="00215677"/>
    <w:rsid w:val="00223E9F"/>
    <w:rsid w:val="002240D7"/>
    <w:rsid w:val="00224A76"/>
    <w:rsid w:val="00230347"/>
    <w:rsid w:val="00230496"/>
    <w:rsid w:val="00230CEE"/>
    <w:rsid w:val="00232139"/>
    <w:rsid w:val="00233D21"/>
    <w:rsid w:val="0023787F"/>
    <w:rsid w:val="00241C6D"/>
    <w:rsid w:val="00241DC2"/>
    <w:rsid w:val="002425B0"/>
    <w:rsid w:val="00242D92"/>
    <w:rsid w:val="00243CB5"/>
    <w:rsid w:val="002452D5"/>
    <w:rsid w:val="002500A3"/>
    <w:rsid w:val="002524F4"/>
    <w:rsid w:val="00252FA3"/>
    <w:rsid w:val="0025309C"/>
    <w:rsid w:val="00261294"/>
    <w:rsid w:val="0026133D"/>
    <w:rsid w:val="00263D88"/>
    <w:rsid w:val="00273DB4"/>
    <w:rsid w:val="00275685"/>
    <w:rsid w:val="002768EA"/>
    <w:rsid w:val="002769F2"/>
    <w:rsid w:val="00277BDC"/>
    <w:rsid w:val="002811B7"/>
    <w:rsid w:val="00282E7D"/>
    <w:rsid w:val="00284179"/>
    <w:rsid w:val="00284A9E"/>
    <w:rsid w:val="00285600"/>
    <w:rsid w:val="00287868"/>
    <w:rsid w:val="00290C20"/>
    <w:rsid w:val="00290F18"/>
    <w:rsid w:val="002913D8"/>
    <w:rsid w:val="00291799"/>
    <w:rsid w:val="00295631"/>
    <w:rsid w:val="00296121"/>
    <w:rsid w:val="002A022A"/>
    <w:rsid w:val="002A1635"/>
    <w:rsid w:val="002A1E01"/>
    <w:rsid w:val="002A5027"/>
    <w:rsid w:val="002A5802"/>
    <w:rsid w:val="002A6A8F"/>
    <w:rsid w:val="002A7123"/>
    <w:rsid w:val="002C0839"/>
    <w:rsid w:val="002C3C28"/>
    <w:rsid w:val="002C5C19"/>
    <w:rsid w:val="002C6445"/>
    <w:rsid w:val="002C6DE9"/>
    <w:rsid w:val="002C6E67"/>
    <w:rsid w:val="002D1E2E"/>
    <w:rsid w:val="002D3863"/>
    <w:rsid w:val="002D4D8D"/>
    <w:rsid w:val="002D5349"/>
    <w:rsid w:val="002E1BFD"/>
    <w:rsid w:val="002E3606"/>
    <w:rsid w:val="002E476D"/>
    <w:rsid w:val="002E6AD2"/>
    <w:rsid w:val="002F2468"/>
    <w:rsid w:val="00300877"/>
    <w:rsid w:val="003028BA"/>
    <w:rsid w:val="00303A34"/>
    <w:rsid w:val="00306B3A"/>
    <w:rsid w:val="00306D2F"/>
    <w:rsid w:val="00314196"/>
    <w:rsid w:val="00315F7B"/>
    <w:rsid w:val="003267F1"/>
    <w:rsid w:val="00326869"/>
    <w:rsid w:val="003308DC"/>
    <w:rsid w:val="00330EB4"/>
    <w:rsid w:val="00336323"/>
    <w:rsid w:val="00341380"/>
    <w:rsid w:val="00341D48"/>
    <w:rsid w:val="00343004"/>
    <w:rsid w:val="00343716"/>
    <w:rsid w:val="00343899"/>
    <w:rsid w:val="00343E76"/>
    <w:rsid w:val="00345ECD"/>
    <w:rsid w:val="003460AA"/>
    <w:rsid w:val="00346E10"/>
    <w:rsid w:val="00347562"/>
    <w:rsid w:val="00351AD0"/>
    <w:rsid w:val="00351BE9"/>
    <w:rsid w:val="003527BB"/>
    <w:rsid w:val="00353655"/>
    <w:rsid w:val="00355652"/>
    <w:rsid w:val="00360BD8"/>
    <w:rsid w:val="00361ED6"/>
    <w:rsid w:val="00366124"/>
    <w:rsid w:val="003677CA"/>
    <w:rsid w:val="003718C4"/>
    <w:rsid w:val="00372EEE"/>
    <w:rsid w:val="003750FD"/>
    <w:rsid w:val="003760FA"/>
    <w:rsid w:val="00377714"/>
    <w:rsid w:val="003810EE"/>
    <w:rsid w:val="00381363"/>
    <w:rsid w:val="003841FE"/>
    <w:rsid w:val="00385133"/>
    <w:rsid w:val="00385E3C"/>
    <w:rsid w:val="00386116"/>
    <w:rsid w:val="00390070"/>
    <w:rsid w:val="00391DAB"/>
    <w:rsid w:val="0039791C"/>
    <w:rsid w:val="003A227F"/>
    <w:rsid w:val="003A35C2"/>
    <w:rsid w:val="003A5C8B"/>
    <w:rsid w:val="003A68AE"/>
    <w:rsid w:val="003B0EBB"/>
    <w:rsid w:val="003B3A98"/>
    <w:rsid w:val="003C0F7B"/>
    <w:rsid w:val="003C2297"/>
    <w:rsid w:val="003C26EB"/>
    <w:rsid w:val="003C5E29"/>
    <w:rsid w:val="003C5EDF"/>
    <w:rsid w:val="003C7A1E"/>
    <w:rsid w:val="003C7CB3"/>
    <w:rsid w:val="003D1755"/>
    <w:rsid w:val="003E0677"/>
    <w:rsid w:val="003E255B"/>
    <w:rsid w:val="003E3E9B"/>
    <w:rsid w:val="003E6418"/>
    <w:rsid w:val="003E6D4D"/>
    <w:rsid w:val="003F303E"/>
    <w:rsid w:val="003F354F"/>
    <w:rsid w:val="004014D4"/>
    <w:rsid w:val="004017D0"/>
    <w:rsid w:val="00406F9A"/>
    <w:rsid w:val="0041288F"/>
    <w:rsid w:val="00412C9F"/>
    <w:rsid w:val="004137FA"/>
    <w:rsid w:val="004149B8"/>
    <w:rsid w:val="0041734E"/>
    <w:rsid w:val="00417F90"/>
    <w:rsid w:val="004260BB"/>
    <w:rsid w:val="00427AE8"/>
    <w:rsid w:val="0043041F"/>
    <w:rsid w:val="004306F0"/>
    <w:rsid w:val="00431F05"/>
    <w:rsid w:val="00432AB5"/>
    <w:rsid w:val="00434ECB"/>
    <w:rsid w:val="00436E46"/>
    <w:rsid w:val="00442154"/>
    <w:rsid w:val="0044225D"/>
    <w:rsid w:val="00443C7A"/>
    <w:rsid w:val="00443E3F"/>
    <w:rsid w:val="00444820"/>
    <w:rsid w:val="004455C8"/>
    <w:rsid w:val="00445682"/>
    <w:rsid w:val="004456B8"/>
    <w:rsid w:val="004475DF"/>
    <w:rsid w:val="00452150"/>
    <w:rsid w:val="00457859"/>
    <w:rsid w:val="00461B68"/>
    <w:rsid w:val="004628CE"/>
    <w:rsid w:val="0046498D"/>
    <w:rsid w:val="00464E8A"/>
    <w:rsid w:val="00464EE0"/>
    <w:rsid w:val="00466758"/>
    <w:rsid w:val="00472E21"/>
    <w:rsid w:val="0047409C"/>
    <w:rsid w:val="0048014E"/>
    <w:rsid w:val="00481479"/>
    <w:rsid w:val="0048347C"/>
    <w:rsid w:val="00487FC7"/>
    <w:rsid w:val="00490EDE"/>
    <w:rsid w:val="00495F79"/>
    <w:rsid w:val="004963AA"/>
    <w:rsid w:val="00496E3F"/>
    <w:rsid w:val="004A14F2"/>
    <w:rsid w:val="004A1D18"/>
    <w:rsid w:val="004A1DE2"/>
    <w:rsid w:val="004A3033"/>
    <w:rsid w:val="004A5910"/>
    <w:rsid w:val="004A6256"/>
    <w:rsid w:val="004A67BE"/>
    <w:rsid w:val="004B27CF"/>
    <w:rsid w:val="004B3034"/>
    <w:rsid w:val="004B61A0"/>
    <w:rsid w:val="004C2E39"/>
    <w:rsid w:val="004C303A"/>
    <w:rsid w:val="004D386A"/>
    <w:rsid w:val="004D42B5"/>
    <w:rsid w:val="004D4B19"/>
    <w:rsid w:val="004D6439"/>
    <w:rsid w:val="004D76CB"/>
    <w:rsid w:val="004E0AFC"/>
    <w:rsid w:val="004E1955"/>
    <w:rsid w:val="004E1F13"/>
    <w:rsid w:val="004E2A8C"/>
    <w:rsid w:val="004E3358"/>
    <w:rsid w:val="004E3808"/>
    <w:rsid w:val="004E5890"/>
    <w:rsid w:val="004E6AE7"/>
    <w:rsid w:val="004E771F"/>
    <w:rsid w:val="004F2505"/>
    <w:rsid w:val="004F3CA2"/>
    <w:rsid w:val="004F4B07"/>
    <w:rsid w:val="004F63F8"/>
    <w:rsid w:val="00504BAC"/>
    <w:rsid w:val="00504F91"/>
    <w:rsid w:val="005060E4"/>
    <w:rsid w:val="00506275"/>
    <w:rsid w:val="005062F7"/>
    <w:rsid w:val="005078BC"/>
    <w:rsid w:val="0050794D"/>
    <w:rsid w:val="00514664"/>
    <w:rsid w:val="00514B9D"/>
    <w:rsid w:val="00517A91"/>
    <w:rsid w:val="005202FA"/>
    <w:rsid w:val="00520CD8"/>
    <w:rsid w:val="00521B76"/>
    <w:rsid w:val="00523B5C"/>
    <w:rsid w:val="00523E05"/>
    <w:rsid w:val="005252BD"/>
    <w:rsid w:val="00526E4B"/>
    <w:rsid w:val="0053092D"/>
    <w:rsid w:val="0053112E"/>
    <w:rsid w:val="0053172D"/>
    <w:rsid w:val="00531979"/>
    <w:rsid w:val="0053647C"/>
    <w:rsid w:val="0053741F"/>
    <w:rsid w:val="0054001A"/>
    <w:rsid w:val="0054116E"/>
    <w:rsid w:val="00550924"/>
    <w:rsid w:val="00553B59"/>
    <w:rsid w:val="00557397"/>
    <w:rsid w:val="00563E5B"/>
    <w:rsid w:val="00564C30"/>
    <w:rsid w:val="00565352"/>
    <w:rsid w:val="00570F57"/>
    <w:rsid w:val="0057251E"/>
    <w:rsid w:val="00573512"/>
    <w:rsid w:val="00574278"/>
    <w:rsid w:val="00577E97"/>
    <w:rsid w:val="00585488"/>
    <w:rsid w:val="0059093C"/>
    <w:rsid w:val="00594866"/>
    <w:rsid w:val="00594F43"/>
    <w:rsid w:val="0059622A"/>
    <w:rsid w:val="005967BD"/>
    <w:rsid w:val="005973C9"/>
    <w:rsid w:val="005A0265"/>
    <w:rsid w:val="005A1316"/>
    <w:rsid w:val="005A26FF"/>
    <w:rsid w:val="005A3C36"/>
    <w:rsid w:val="005A6A37"/>
    <w:rsid w:val="005A70C3"/>
    <w:rsid w:val="005A73DE"/>
    <w:rsid w:val="005A7512"/>
    <w:rsid w:val="005B27ED"/>
    <w:rsid w:val="005C280D"/>
    <w:rsid w:val="005C3252"/>
    <w:rsid w:val="005C3426"/>
    <w:rsid w:val="005C46AE"/>
    <w:rsid w:val="005C5642"/>
    <w:rsid w:val="005C58C8"/>
    <w:rsid w:val="005C63F7"/>
    <w:rsid w:val="005D3688"/>
    <w:rsid w:val="005D38DB"/>
    <w:rsid w:val="005D51E0"/>
    <w:rsid w:val="005D568D"/>
    <w:rsid w:val="005D7FD7"/>
    <w:rsid w:val="005E045E"/>
    <w:rsid w:val="005E21A5"/>
    <w:rsid w:val="005E33B9"/>
    <w:rsid w:val="005E49D6"/>
    <w:rsid w:val="005E5400"/>
    <w:rsid w:val="005E6AFD"/>
    <w:rsid w:val="005E7F52"/>
    <w:rsid w:val="005F667F"/>
    <w:rsid w:val="00601DB7"/>
    <w:rsid w:val="00601E1A"/>
    <w:rsid w:val="0060286C"/>
    <w:rsid w:val="006051EF"/>
    <w:rsid w:val="0061107A"/>
    <w:rsid w:val="00614927"/>
    <w:rsid w:val="00616975"/>
    <w:rsid w:val="00617AA5"/>
    <w:rsid w:val="00626A1A"/>
    <w:rsid w:val="00631916"/>
    <w:rsid w:val="00636375"/>
    <w:rsid w:val="006425A4"/>
    <w:rsid w:val="006426AA"/>
    <w:rsid w:val="006458EF"/>
    <w:rsid w:val="00645FB5"/>
    <w:rsid w:val="0065187F"/>
    <w:rsid w:val="00651D17"/>
    <w:rsid w:val="00652064"/>
    <w:rsid w:val="00652509"/>
    <w:rsid w:val="00652B87"/>
    <w:rsid w:val="00654F29"/>
    <w:rsid w:val="00657882"/>
    <w:rsid w:val="00657CA4"/>
    <w:rsid w:val="006639C5"/>
    <w:rsid w:val="006659E7"/>
    <w:rsid w:val="00667209"/>
    <w:rsid w:val="0066796B"/>
    <w:rsid w:val="00667D83"/>
    <w:rsid w:val="00670791"/>
    <w:rsid w:val="00671ED0"/>
    <w:rsid w:val="00671ED7"/>
    <w:rsid w:val="006740C9"/>
    <w:rsid w:val="0067493C"/>
    <w:rsid w:val="006774E4"/>
    <w:rsid w:val="00681468"/>
    <w:rsid w:val="006824C2"/>
    <w:rsid w:val="00684230"/>
    <w:rsid w:val="00684A8F"/>
    <w:rsid w:val="00684AD2"/>
    <w:rsid w:val="00692058"/>
    <w:rsid w:val="00692DD4"/>
    <w:rsid w:val="00696B02"/>
    <w:rsid w:val="006978B1"/>
    <w:rsid w:val="006A0146"/>
    <w:rsid w:val="006A1052"/>
    <w:rsid w:val="006A16AD"/>
    <w:rsid w:val="006A1C3A"/>
    <w:rsid w:val="006A2AD5"/>
    <w:rsid w:val="006B1A71"/>
    <w:rsid w:val="006B1B5D"/>
    <w:rsid w:val="006B71BC"/>
    <w:rsid w:val="006C08B7"/>
    <w:rsid w:val="006C0D66"/>
    <w:rsid w:val="006C1DC4"/>
    <w:rsid w:val="006C298A"/>
    <w:rsid w:val="006C4E34"/>
    <w:rsid w:val="006D0248"/>
    <w:rsid w:val="006D3EA0"/>
    <w:rsid w:val="006D60C9"/>
    <w:rsid w:val="006D7B66"/>
    <w:rsid w:val="006E12AD"/>
    <w:rsid w:val="006E588C"/>
    <w:rsid w:val="006E6CD4"/>
    <w:rsid w:val="006E7C35"/>
    <w:rsid w:val="006F0363"/>
    <w:rsid w:val="006F2131"/>
    <w:rsid w:val="006F2F11"/>
    <w:rsid w:val="006F38DD"/>
    <w:rsid w:val="006F4BA6"/>
    <w:rsid w:val="007010E2"/>
    <w:rsid w:val="00702A7E"/>
    <w:rsid w:val="00703F85"/>
    <w:rsid w:val="00706569"/>
    <w:rsid w:val="00706AC2"/>
    <w:rsid w:val="00712DFE"/>
    <w:rsid w:val="00721F73"/>
    <w:rsid w:val="00723650"/>
    <w:rsid w:val="0073061C"/>
    <w:rsid w:val="0073126A"/>
    <w:rsid w:val="00731501"/>
    <w:rsid w:val="007325C0"/>
    <w:rsid w:val="007331F6"/>
    <w:rsid w:val="00736407"/>
    <w:rsid w:val="00741772"/>
    <w:rsid w:val="007426FC"/>
    <w:rsid w:val="007446FF"/>
    <w:rsid w:val="007456B8"/>
    <w:rsid w:val="0075057D"/>
    <w:rsid w:val="00750996"/>
    <w:rsid w:val="00751F31"/>
    <w:rsid w:val="007564C4"/>
    <w:rsid w:val="007575FC"/>
    <w:rsid w:val="00764DBD"/>
    <w:rsid w:val="007656B8"/>
    <w:rsid w:val="00765BB9"/>
    <w:rsid w:val="00766A86"/>
    <w:rsid w:val="00767638"/>
    <w:rsid w:val="00770036"/>
    <w:rsid w:val="00771C1A"/>
    <w:rsid w:val="00773A03"/>
    <w:rsid w:val="007759AE"/>
    <w:rsid w:val="007778B5"/>
    <w:rsid w:val="0078574E"/>
    <w:rsid w:val="007860B5"/>
    <w:rsid w:val="0078715E"/>
    <w:rsid w:val="00790593"/>
    <w:rsid w:val="00790AAC"/>
    <w:rsid w:val="00790B4C"/>
    <w:rsid w:val="00791DBD"/>
    <w:rsid w:val="00792125"/>
    <w:rsid w:val="00792A77"/>
    <w:rsid w:val="007945C5"/>
    <w:rsid w:val="00795533"/>
    <w:rsid w:val="00795FF7"/>
    <w:rsid w:val="007A479A"/>
    <w:rsid w:val="007A5263"/>
    <w:rsid w:val="007A79B2"/>
    <w:rsid w:val="007B203C"/>
    <w:rsid w:val="007B2232"/>
    <w:rsid w:val="007B503C"/>
    <w:rsid w:val="007B672F"/>
    <w:rsid w:val="007C11B0"/>
    <w:rsid w:val="007C370A"/>
    <w:rsid w:val="007C7A4D"/>
    <w:rsid w:val="007D0F25"/>
    <w:rsid w:val="007D1022"/>
    <w:rsid w:val="007D3FE5"/>
    <w:rsid w:val="007D41D6"/>
    <w:rsid w:val="007D46BB"/>
    <w:rsid w:val="007D7233"/>
    <w:rsid w:val="007E0A46"/>
    <w:rsid w:val="007E1278"/>
    <w:rsid w:val="007E14CA"/>
    <w:rsid w:val="007E1A6A"/>
    <w:rsid w:val="007E2D11"/>
    <w:rsid w:val="007E3987"/>
    <w:rsid w:val="007E3C49"/>
    <w:rsid w:val="007E637D"/>
    <w:rsid w:val="007E6A57"/>
    <w:rsid w:val="007E6E86"/>
    <w:rsid w:val="007F45E1"/>
    <w:rsid w:val="007F5B26"/>
    <w:rsid w:val="007F62E6"/>
    <w:rsid w:val="007F76C2"/>
    <w:rsid w:val="008002CD"/>
    <w:rsid w:val="00801B64"/>
    <w:rsid w:val="008020A5"/>
    <w:rsid w:val="00806946"/>
    <w:rsid w:val="00806A85"/>
    <w:rsid w:val="00807D98"/>
    <w:rsid w:val="008105E3"/>
    <w:rsid w:val="00821845"/>
    <w:rsid w:val="008247F5"/>
    <w:rsid w:val="00825901"/>
    <w:rsid w:val="00826365"/>
    <w:rsid w:val="00826DC7"/>
    <w:rsid w:val="00830020"/>
    <w:rsid w:val="008301BD"/>
    <w:rsid w:val="00830498"/>
    <w:rsid w:val="00830AD1"/>
    <w:rsid w:val="0083458F"/>
    <w:rsid w:val="0084046B"/>
    <w:rsid w:val="00841139"/>
    <w:rsid w:val="00845120"/>
    <w:rsid w:val="0084530E"/>
    <w:rsid w:val="008455CF"/>
    <w:rsid w:val="008463D6"/>
    <w:rsid w:val="00851000"/>
    <w:rsid w:val="008519DB"/>
    <w:rsid w:val="0085244B"/>
    <w:rsid w:val="0085433F"/>
    <w:rsid w:val="008544B3"/>
    <w:rsid w:val="00855F5F"/>
    <w:rsid w:val="00864C44"/>
    <w:rsid w:val="008665D6"/>
    <w:rsid w:val="00872392"/>
    <w:rsid w:val="00876AA0"/>
    <w:rsid w:val="0088127A"/>
    <w:rsid w:val="0088743A"/>
    <w:rsid w:val="00887732"/>
    <w:rsid w:val="00887DAA"/>
    <w:rsid w:val="00894958"/>
    <w:rsid w:val="008953C8"/>
    <w:rsid w:val="00897323"/>
    <w:rsid w:val="008A07B3"/>
    <w:rsid w:val="008A1642"/>
    <w:rsid w:val="008A2A82"/>
    <w:rsid w:val="008A5918"/>
    <w:rsid w:val="008A5AAA"/>
    <w:rsid w:val="008B15E9"/>
    <w:rsid w:val="008B1B8C"/>
    <w:rsid w:val="008B49D5"/>
    <w:rsid w:val="008B7738"/>
    <w:rsid w:val="008B7F3D"/>
    <w:rsid w:val="008C07D7"/>
    <w:rsid w:val="008C4B5A"/>
    <w:rsid w:val="008D04AA"/>
    <w:rsid w:val="008D3D62"/>
    <w:rsid w:val="008D5400"/>
    <w:rsid w:val="008E0370"/>
    <w:rsid w:val="008E062C"/>
    <w:rsid w:val="008E2A4D"/>
    <w:rsid w:val="008E3C7C"/>
    <w:rsid w:val="008E4CBB"/>
    <w:rsid w:val="008E77AA"/>
    <w:rsid w:val="008E7942"/>
    <w:rsid w:val="008F00BF"/>
    <w:rsid w:val="008F2559"/>
    <w:rsid w:val="008F2D36"/>
    <w:rsid w:val="008F3B73"/>
    <w:rsid w:val="008F4B68"/>
    <w:rsid w:val="008F5748"/>
    <w:rsid w:val="008F6096"/>
    <w:rsid w:val="00902C47"/>
    <w:rsid w:val="00904833"/>
    <w:rsid w:val="009065D3"/>
    <w:rsid w:val="00906B13"/>
    <w:rsid w:val="00906C0C"/>
    <w:rsid w:val="009079CE"/>
    <w:rsid w:val="00907A99"/>
    <w:rsid w:val="009109FD"/>
    <w:rsid w:val="00917392"/>
    <w:rsid w:val="0092131A"/>
    <w:rsid w:val="00925069"/>
    <w:rsid w:val="00926046"/>
    <w:rsid w:val="0092606B"/>
    <w:rsid w:val="00927AAC"/>
    <w:rsid w:val="00935197"/>
    <w:rsid w:val="00935386"/>
    <w:rsid w:val="00937A2C"/>
    <w:rsid w:val="00945105"/>
    <w:rsid w:val="00945209"/>
    <w:rsid w:val="00950C5F"/>
    <w:rsid w:val="009528C3"/>
    <w:rsid w:val="00954390"/>
    <w:rsid w:val="00957281"/>
    <w:rsid w:val="00960675"/>
    <w:rsid w:val="00962F58"/>
    <w:rsid w:val="00964557"/>
    <w:rsid w:val="009674C1"/>
    <w:rsid w:val="009707E6"/>
    <w:rsid w:val="00971AFE"/>
    <w:rsid w:val="0097300B"/>
    <w:rsid w:val="00977A48"/>
    <w:rsid w:val="009805A5"/>
    <w:rsid w:val="0098130E"/>
    <w:rsid w:val="00981515"/>
    <w:rsid w:val="009848C3"/>
    <w:rsid w:val="00985B50"/>
    <w:rsid w:val="00985EDF"/>
    <w:rsid w:val="009865DC"/>
    <w:rsid w:val="009866A5"/>
    <w:rsid w:val="00992DF6"/>
    <w:rsid w:val="009938DE"/>
    <w:rsid w:val="009958D3"/>
    <w:rsid w:val="0099638D"/>
    <w:rsid w:val="009A0973"/>
    <w:rsid w:val="009A1671"/>
    <w:rsid w:val="009A18F9"/>
    <w:rsid w:val="009A2599"/>
    <w:rsid w:val="009A2E35"/>
    <w:rsid w:val="009A48D2"/>
    <w:rsid w:val="009B1BB3"/>
    <w:rsid w:val="009B23C9"/>
    <w:rsid w:val="009B36D1"/>
    <w:rsid w:val="009B4545"/>
    <w:rsid w:val="009C04AF"/>
    <w:rsid w:val="009C285B"/>
    <w:rsid w:val="009C29BD"/>
    <w:rsid w:val="009C2DAF"/>
    <w:rsid w:val="009C3A22"/>
    <w:rsid w:val="009C3ED1"/>
    <w:rsid w:val="009D06B2"/>
    <w:rsid w:val="009D1173"/>
    <w:rsid w:val="009D2EDA"/>
    <w:rsid w:val="009D37B6"/>
    <w:rsid w:val="009D4E03"/>
    <w:rsid w:val="009D545E"/>
    <w:rsid w:val="009E1885"/>
    <w:rsid w:val="009E37BF"/>
    <w:rsid w:val="009E50AC"/>
    <w:rsid w:val="009E53D0"/>
    <w:rsid w:val="009F05FB"/>
    <w:rsid w:val="009F53C3"/>
    <w:rsid w:val="009F6985"/>
    <w:rsid w:val="009F6EDC"/>
    <w:rsid w:val="00A00D35"/>
    <w:rsid w:val="00A02261"/>
    <w:rsid w:val="00A03504"/>
    <w:rsid w:val="00A03692"/>
    <w:rsid w:val="00A043CA"/>
    <w:rsid w:val="00A04E93"/>
    <w:rsid w:val="00A051E8"/>
    <w:rsid w:val="00A10540"/>
    <w:rsid w:val="00A11792"/>
    <w:rsid w:val="00A1363A"/>
    <w:rsid w:val="00A172ED"/>
    <w:rsid w:val="00A174D8"/>
    <w:rsid w:val="00A24D5B"/>
    <w:rsid w:val="00A25AE9"/>
    <w:rsid w:val="00A36AFF"/>
    <w:rsid w:val="00A40C74"/>
    <w:rsid w:val="00A43BB2"/>
    <w:rsid w:val="00A4597C"/>
    <w:rsid w:val="00A52254"/>
    <w:rsid w:val="00A55344"/>
    <w:rsid w:val="00A66690"/>
    <w:rsid w:val="00A67C9D"/>
    <w:rsid w:val="00A70A9C"/>
    <w:rsid w:val="00A76AE6"/>
    <w:rsid w:val="00A838D8"/>
    <w:rsid w:val="00A84578"/>
    <w:rsid w:val="00A85990"/>
    <w:rsid w:val="00A91B63"/>
    <w:rsid w:val="00A91D54"/>
    <w:rsid w:val="00A93961"/>
    <w:rsid w:val="00AA1A19"/>
    <w:rsid w:val="00AA316A"/>
    <w:rsid w:val="00AA72C0"/>
    <w:rsid w:val="00AB0761"/>
    <w:rsid w:val="00AB0BF6"/>
    <w:rsid w:val="00AB1CEF"/>
    <w:rsid w:val="00AB477F"/>
    <w:rsid w:val="00AB5C1F"/>
    <w:rsid w:val="00AB7B90"/>
    <w:rsid w:val="00AC6080"/>
    <w:rsid w:val="00AC6A42"/>
    <w:rsid w:val="00AD2825"/>
    <w:rsid w:val="00AD713A"/>
    <w:rsid w:val="00AE165E"/>
    <w:rsid w:val="00AE2B6E"/>
    <w:rsid w:val="00AE41C9"/>
    <w:rsid w:val="00AE450A"/>
    <w:rsid w:val="00AE5E7B"/>
    <w:rsid w:val="00AF23F2"/>
    <w:rsid w:val="00AF315D"/>
    <w:rsid w:val="00AF43D0"/>
    <w:rsid w:val="00AF4845"/>
    <w:rsid w:val="00AF4ED3"/>
    <w:rsid w:val="00AF60FB"/>
    <w:rsid w:val="00AF61EC"/>
    <w:rsid w:val="00B01BFF"/>
    <w:rsid w:val="00B025A1"/>
    <w:rsid w:val="00B02A82"/>
    <w:rsid w:val="00B02BB2"/>
    <w:rsid w:val="00B03FA0"/>
    <w:rsid w:val="00B05138"/>
    <w:rsid w:val="00B063B4"/>
    <w:rsid w:val="00B06568"/>
    <w:rsid w:val="00B06ACF"/>
    <w:rsid w:val="00B13B5F"/>
    <w:rsid w:val="00B15884"/>
    <w:rsid w:val="00B16FBD"/>
    <w:rsid w:val="00B1711D"/>
    <w:rsid w:val="00B20E3D"/>
    <w:rsid w:val="00B2160C"/>
    <w:rsid w:val="00B21C3E"/>
    <w:rsid w:val="00B229C2"/>
    <w:rsid w:val="00B2668D"/>
    <w:rsid w:val="00B26C8C"/>
    <w:rsid w:val="00B307F1"/>
    <w:rsid w:val="00B34B98"/>
    <w:rsid w:val="00B3674F"/>
    <w:rsid w:val="00B37CFB"/>
    <w:rsid w:val="00B40C71"/>
    <w:rsid w:val="00B42D5A"/>
    <w:rsid w:val="00B439CC"/>
    <w:rsid w:val="00B43DC9"/>
    <w:rsid w:val="00B44E36"/>
    <w:rsid w:val="00B46AAC"/>
    <w:rsid w:val="00B511E2"/>
    <w:rsid w:val="00B53607"/>
    <w:rsid w:val="00B55A4F"/>
    <w:rsid w:val="00B56180"/>
    <w:rsid w:val="00B620E9"/>
    <w:rsid w:val="00B62381"/>
    <w:rsid w:val="00B6649C"/>
    <w:rsid w:val="00B6698E"/>
    <w:rsid w:val="00B70C9F"/>
    <w:rsid w:val="00B72F12"/>
    <w:rsid w:val="00B76B96"/>
    <w:rsid w:val="00B77F6F"/>
    <w:rsid w:val="00B801DE"/>
    <w:rsid w:val="00B80FFD"/>
    <w:rsid w:val="00B81CE3"/>
    <w:rsid w:val="00B81DDB"/>
    <w:rsid w:val="00B95A03"/>
    <w:rsid w:val="00B95F7A"/>
    <w:rsid w:val="00B968B4"/>
    <w:rsid w:val="00B97F11"/>
    <w:rsid w:val="00BA270F"/>
    <w:rsid w:val="00BA2E8D"/>
    <w:rsid w:val="00BA4A43"/>
    <w:rsid w:val="00BB10C8"/>
    <w:rsid w:val="00BB1F9D"/>
    <w:rsid w:val="00BB20AA"/>
    <w:rsid w:val="00BB2D47"/>
    <w:rsid w:val="00BB2F2E"/>
    <w:rsid w:val="00BB7309"/>
    <w:rsid w:val="00BC1839"/>
    <w:rsid w:val="00BC3C10"/>
    <w:rsid w:val="00BC7657"/>
    <w:rsid w:val="00BD2C29"/>
    <w:rsid w:val="00BD3AE6"/>
    <w:rsid w:val="00BD403B"/>
    <w:rsid w:val="00BD58DF"/>
    <w:rsid w:val="00BD6A39"/>
    <w:rsid w:val="00BD7224"/>
    <w:rsid w:val="00BE1100"/>
    <w:rsid w:val="00BE13CF"/>
    <w:rsid w:val="00BE155B"/>
    <w:rsid w:val="00BE17B0"/>
    <w:rsid w:val="00BE6074"/>
    <w:rsid w:val="00BE65DF"/>
    <w:rsid w:val="00BF09D1"/>
    <w:rsid w:val="00BF3D82"/>
    <w:rsid w:val="00BF4160"/>
    <w:rsid w:val="00BF76CA"/>
    <w:rsid w:val="00C0086B"/>
    <w:rsid w:val="00C03835"/>
    <w:rsid w:val="00C10811"/>
    <w:rsid w:val="00C140DB"/>
    <w:rsid w:val="00C14EFB"/>
    <w:rsid w:val="00C174C5"/>
    <w:rsid w:val="00C223CC"/>
    <w:rsid w:val="00C22726"/>
    <w:rsid w:val="00C242A1"/>
    <w:rsid w:val="00C26720"/>
    <w:rsid w:val="00C34A69"/>
    <w:rsid w:val="00C37382"/>
    <w:rsid w:val="00C41A32"/>
    <w:rsid w:val="00C424B4"/>
    <w:rsid w:val="00C4254B"/>
    <w:rsid w:val="00C46DB0"/>
    <w:rsid w:val="00C503B6"/>
    <w:rsid w:val="00C507F8"/>
    <w:rsid w:val="00C508AC"/>
    <w:rsid w:val="00C53630"/>
    <w:rsid w:val="00C53764"/>
    <w:rsid w:val="00C53782"/>
    <w:rsid w:val="00C55A40"/>
    <w:rsid w:val="00C563FF"/>
    <w:rsid w:val="00C60F9D"/>
    <w:rsid w:val="00C6164D"/>
    <w:rsid w:val="00C66C68"/>
    <w:rsid w:val="00C6726F"/>
    <w:rsid w:val="00C67EEF"/>
    <w:rsid w:val="00C71744"/>
    <w:rsid w:val="00C71E46"/>
    <w:rsid w:val="00C72F8F"/>
    <w:rsid w:val="00C771B4"/>
    <w:rsid w:val="00C80016"/>
    <w:rsid w:val="00C802B8"/>
    <w:rsid w:val="00C80D70"/>
    <w:rsid w:val="00C8182E"/>
    <w:rsid w:val="00C87413"/>
    <w:rsid w:val="00C920C0"/>
    <w:rsid w:val="00C926B4"/>
    <w:rsid w:val="00C92700"/>
    <w:rsid w:val="00C92E14"/>
    <w:rsid w:val="00C92EFE"/>
    <w:rsid w:val="00C93EB5"/>
    <w:rsid w:val="00C95E36"/>
    <w:rsid w:val="00C963DA"/>
    <w:rsid w:val="00C97F5D"/>
    <w:rsid w:val="00CA0A43"/>
    <w:rsid w:val="00CA1EEB"/>
    <w:rsid w:val="00CA5AFE"/>
    <w:rsid w:val="00CA5C45"/>
    <w:rsid w:val="00CA5D79"/>
    <w:rsid w:val="00CA5E31"/>
    <w:rsid w:val="00CA7B15"/>
    <w:rsid w:val="00CB0AE5"/>
    <w:rsid w:val="00CB15FC"/>
    <w:rsid w:val="00CB7291"/>
    <w:rsid w:val="00CC12E0"/>
    <w:rsid w:val="00CC1DAC"/>
    <w:rsid w:val="00CC23AC"/>
    <w:rsid w:val="00CC4B0A"/>
    <w:rsid w:val="00CC505E"/>
    <w:rsid w:val="00CD04CB"/>
    <w:rsid w:val="00CD0F05"/>
    <w:rsid w:val="00CD198F"/>
    <w:rsid w:val="00CD5409"/>
    <w:rsid w:val="00CD75D7"/>
    <w:rsid w:val="00CD762B"/>
    <w:rsid w:val="00CD7DF0"/>
    <w:rsid w:val="00CE1DFC"/>
    <w:rsid w:val="00CE2F55"/>
    <w:rsid w:val="00CE54AA"/>
    <w:rsid w:val="00CE6EFC"/>
    <w:rsid w:val="00CF22B8"/>
    <w:rsid w:val="00CF70CE"/>
    <w:rsid w:val="00D006D6"/>
    <w:rsid w:val="00D06187"/>
    <w:rsid w:val="00D12B87"/>
    <w:rsid w:val="00D12BCF"/>
    <w:rsid w:val="00D14F16"/>
    <w:rsid w:val="00D15E87"/>
    <w:rsid w:val="00D1777F"/>
    <w:rsid w:val="00D24BCF"/>
    <w:rsid w:val="00D25709"/>
    <w:rsid w:val="00D25837"/>
    <w:rsid w:val="00D26669"/>
    <w:rsid w:val="00D2693E"/>
    <w:rsid w:val="00D26F40"/>
    <w:rsid w:val="00D27957"/>
    <w:rsid w:val="00D33719"/>
    <w:rsid w:val="00D35B90"/>
    <w:rsid w:val="00D374FD"/>
    <w:rsid w:val="00D375A2"/>
    <w:rsid w:val="00D44D1F"/>
    <w:rsid w:val="00D44F8B"/>
    <w:rsid w:val="00D46FC1"/>
    <w:rsid w:val="00D513A7"/>
    <w:rsid w:val="00D538CF"/>
    <w:rsid w:val="00D53910"/>
    <w:rsid w:val="00D54BF6"/>
    <w:rsid w:val="00D628C2"/>
    <w:rsid w:val="00D632F9"/>
    <w:rsid w:val="00D6418F"/>
    <w:rsid w:val="00D64219"/>
    <w:rsid w:val="00D65DFA"/>
    <w:rsid w:val="00D70AAE"/>
    <w:rsid w:val="00D73865"/>
    <w:rsid w:val="00D73F83"/>
    <w:rsid w:val="00D7560F"/>
    <w:rsid w:val="00D827A0"/>
    <w:rsid w:val="00D85A8C"/>
    <w:rsid w:val="00D864EE"/>
    <w:rsid w:val="00D9431A"/>
    <w:rsid w:val="00D94ED3"/>
    <w:rsid w:val="00D95016"/>
    <w:rsid w:val="00D952D0"/>
    <w:rsid w:val="00D97B78"/>
    <w:rsid w:val="00DA08BA"/>
    <w:rsid w:val="00DA1475"/>
    <w:rsid w:val="00DA1B5B"/>
    <w:rsid w:val="00DA24C0"/>
    <w:rsid w:val="00DA30CD"/>
    <w:rsid w:val="00DB025D"/>
    <w:rsid w:val="00DB0656"/>
    <w:rsid w:val="00DB109E"/>
    <w:rsid w:val="00DB17D0"/>
    <w:rsid w:val="00DB1C6A"/>
    <w:rsid w:val="00DB27D4"/>
    <w:rsid w:val="00DB501A"/>
    <w:rsid w:val="00DB5F4B"/>
    <w:rsid w:val="00DC0C3B"/>
    <w:rsid w:val="00DC1BAF"/>
    <w:rsid w:val="00DC7926"/>
    <w:rsid w:val="00DD130A"/>
    <w:rsid w:val="00DD1807"/>
    <w:rsid w:val="00DD19B4"/>
    <w:rsid w:val="00DD274B"/>
    <w:rsid w:val="00DD3D1D"/>
    <w:rsid w:val="00DD3FA4"/>
    <w:rsid w:val="00DD4992"/>
    <w:rsid w:val="00DE4939"/>
    <w:rsid w:val="00DE550E"/>
    <w:rsid w:val="00DE5BF9"/>
    <w:rsid w:val="00DF3469"/>
    <w:rsid w:val="00DF34D1"/>
    <w:rsid w:val="00E001DA"/>
    <w:rsid w:val="00E0095A"/>
    <w:rsid w:val="00E01DBE"/>
    <w:rsid w:val="00E05A27"/>
    <w:rsid w:val="00E06D53"/>
    <w:rsid w:val="00E0738B"/>
    <w:rsid w:val="00E119C2"/>
    <w:rsid w:val="00E12360"/>
    <w:rsid w:val="00E14663"/>
    <w:rsid w:val="00E17122"/>
    <w:rsid w:val="00E178DA"/>
    <w:rsid w:val="00E17C00"/>
    <w:rsid w:val="00E22593"/>
    <w:rsid w:val="00E2462C"/>
    <w:rsid w:val="00E2467D"/>
    <w:rsid w:val="00E278E0"/>
    <w:rsid w:val="00E3091B"/>
    <w:rsid w:val="00E312C1"/>
    <w:rsid w:val="00E35E26"/>
    <w:rsid w:val="00E40650"/>
    <w:rsid w:val="00E412F9"/>
    <w:rsid w:val="00E4450A"/>
    <w:rsid w:val="00E44BDE"/>
    <w:rsid w:val="00E54C44"/>
    <w:rsid w:val="00E55BCC"/>
    <w:rsid w:val="00E55CE9"/>
    <w:rsid w:val="00E61B76"/>
    <w:rsid w:val="00E62FAE"/>
    <w:rsid w:val="00E64CAA"/>
    <w:rsid w:val="00E64E13"/>
    <w:rsid w:val="00E67311"/>
    <w:rsid w:val="00E67FDE"/>
    <w:rsid w:val="00E7054F"/>
    <w:rsid w:val="00E72AF5"/>
    <w:rsid w:val="00E72F14"/>
    <w:rsid w:val="00E731CD"/>
    <w:rsid w:val="00E74045"/>
    <w:rsid w:val="00E81FA7"/>
    <w:rsid w:val="00E8228B"/>
    <w:rsid w:val="00E85BB0"/>
    <w:rsid w:val="00E86AF2"/>
    <w:rsid w:val="00E90890"/>
    <w:rsid w:val="00E94351"/>
    <w:rsid w:val="00E95A2C"/>
    <w:rsid w:val="00E969B4"/>
    <w:rsid w:val="00EA0B39"/>
    <w:rsid w:val="00EA5ACE"/>
    <w:rsid w:val="00EA7722"/>
    <w:rsid w:val="00EB014D"/>
    <w:rsid w:val="00EB5DD8"/>
    <w:rsid w:val="00EC23A4"/>
    <w:rsid w:val="00EC2743"/>
    <w:rsid w:val="00EC4B64"/>
    <w:rsid w:val="00EC5AE6"/>
    <w:rsid w:val="00EC75B0"/>
    <w:rsid w:val="00EC7633"/>
    <w:rsid w:val="00ED24E1"/>
    <w:rsid w:val="00EE2710"/>
    <w:rsid w:val="00EE394B"/>
    <w:rsid w:val="00EF11C2"/>
    <w:rsid w:val="00EF1BAA"/>
    <w:rsid w:val="00EF3A6B"/>
    <w:rsid w:val="00EF47BD"/>
    <w:rsid w:val="00EF47EE"/>
    <w:rsid w:val="00EF74DF"/>
    <w:rsid w:val="00F008CD"/>
    <w:rsid w:val="00F01496"/>
    <w:rsid w:val="00F06A1C"/>
    <w:rsid w:val="00F076B1"/>
    <w:rsid w:val="00F07D51"/>
    <w:rsid w:val="00F120F9"/>
    <w:rsid w:val="00F137E1"/>
    <w:rsid w:val="00F1493E"/>
    <w:rsid w:val="00F1623D"/>
    <w:rsid w:val="00F17936"/>
    <w:rsid w:val="00F20C26"/>
    <w:rsid w:val="00F216DB"/>
    <w:rsid w:val="00F22506"/>
    <w:rsid w:val="00F248B6"/>
    <w:rsid w:val="00F24DB6"/>
    <w:rsid w:val="00F24FFC"/>
    <w:rsid w:val="00F31D17"/>
    <w:rsid w:val="00F3256B"/>
    <w:rsid w:val="00F36EAD"/>
    <w:rsid w:val="00F41276"/>
    <w:rsid w:val="00F45134"/>
    <w:rsid w:val="00F45C51"/>
    <w:rsid w:val="00F46625"/>
    <w:rsid w:val="00F5041C"/>
    <w:rsid w:val="00F514B0"/>
    <w:rsid w:val="00F518AF"/>
    <w:rsid w:val="00F5210A"/>
    <w:rsid w:val="00F53827"/>
    <w:rsid w:val="00F55F2B"/>
    <w:rsid w:val="00F56826"/>
    <w:rsid w:val="00F57552"/>
    <w:rsid w:val="00F57FE4"/>
    <w:rsid w:val="00F616CB"/>
    <w:rsid w:val="00F6353C"/>
    <w:rsid w:val="00F651AB"/>
    <w:rsid w:val="00F65CDC"/>
    <w:rsid w:val="00F664A7"/>
    <w:rsid w:val="00F7292F"/>
    <w:rsid w:val="00F7349D"/>
    <w:rsid w:val="00F73A43"/>
    <w:rsid w:val="00F73F30"/>
    <w:rsid w:val="00F76D06"/>
    <w:rsid w:val="00F808A6"/>
    <w:rsid w:val="00F816D2"/>
    <w:rsid w:val="00F850A4"/>
    <w:rsid w:val="00F86DF1"/>
    <w:rsid w:val="00F90143"/>
    <w:rsid w:val="00F90A4F"/>
    <w:rsid w:val="00F90A9B"/>
    <w:rsid w:val="00F91499"/>
    <w:rsid w:val="00FA0D6E"/>
    <w:rsid w:val="00FA20AB"/>
    <w:rsid w:val="00FA2B89"/>
    <w:rsid w:val="00FA2CC8"/>
    <w:rsid w:val="00FA2EF4"/>
    <w:rsid w:val="00FA3F3D"/>
    <w:rsid w:val="00FA7127"/>
    <w:rsid w:val="00FA765B"/>
    <w:rsid w:val="00FB1CF3"/>
    <w:rsid w:val="00FB4915"/>
    <w:rsid w:val="00FB49B6"/>
    <w:rsid w:val="00FB612D"/>
    <w:rsid w:val="00FC4010"/>
    <w:rsid w:val="00FC5E14"/>
    <w:rsid w:val="00FC6043"/>
    <w:rsid w:val="00FE0653"/>
    <w:rsid w:val="00FE084C"/>
    <w:rsid w:val="00FE3D69"/>
    <w:rsid w:val="00FE3EEE"/>
    <w:rsid w:val="00FE4C8C"/>
    <w:rsid w:val="00FE6D56"/>
    <w:rsid w:val="00FE6EE7"/>
    <w:rsid w:val="00FF2D08"/>
    <w:rsid w:val="00FF667B"/>
    <w:rsid w:val="00FF68DD"/>
    <w:rsid w:val="00FF7214"/>
    <w:rsid w:val="00FF7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Lines="20" w:before="72"/>
    </w:pPr>
    <w:rPr>
      <w:rFonts w:ascii="標楷體" w:eastAsia="標楷體" w:hAnsi="標楷體"/>
      <w:color w:val="000000"/>
    </w:rPr>
  </w:style>
  <w:style w:type="paragraph" w:styleId="a4">
    <w:name w:val="Document Map"/>
    <w:basedOn w:val="a"/>
    <w:semiHidden/>
    <w:pPr>
      <w:shd w:val="clear" w:color="auto" w:fill="000080"/>
    </w:pPr>
    <w:rPr>
      <w:rFonts w:ascii="Arial" w:hAnsi="Arial"/>
    </w:rPr>
  </w:style>
  <w:style w:type="paragraph" w:styleId="a5">
    <w:name w:val="Balloon Text"/>
    <w:basedOn w:val="a"/>
    <w:semiHidden/>
    <w:rPr>
      <w:rFonts w:ascii="Arial" w:hAnsi="Arial"/>
      <w:sz w:val="18"/>
      <w:szCs w:val="18"/>
    </w:rPr>
  </w:style>
  <w:style w:type="character" w:styleId="a6">
    <w:name w:val="annotation reference"/>
    <w:semiHidden/>
    <w:rPr>
      <w:sz w:val="18"/>
      <w:szCs w:val="18"/>
    </w:rPr>
  </w:style>
  <w:style w:type="paragraph" w:styleId="a7">
    <w:name w:val="annotation text"/>
    <w:basedOn w:val="a"/>
    <w:semiHidden/>
  </w:style>
  <w:style w:type="paragraph" w:styleId="a8">
    <w:name w:val="annotation subject"/>
    <w:basedOn w:val="a7"/>
    <w:next w:val="a7"/>
    <w:semiHidden/>
    <w:rPr>
      <w:b/>
      <w:bCs/>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character" w:customStyle="1" w:styleId="ac">
    <w:name w:val="字元 字元"/>
    <w:rPr>
      <w:kern w:val="2"/>
    </w:rPr>
  </w:style>
  <w:style w:type="paragraph" w:styleId="ad">
    <w:name w:val="Body Text Indent"/>
    <w:basedOn w:val="a"/>
    <w:link w:val="ae"/>
    <w:pPr>
      <w:spacing w:after="120"/>
      <w:ind w:leftChars="200" w:left="480"/>
    </w:pPr>
    <w:rPr>
      <w:lang w:val="x-none" w:eastAsia="x-none"/>
    </w:rPr>
  </w:style>
  <w:style w:type="paragraph" w:customStyle="1" w:styleId="af">
    <w:name w:val="公文(後續段落)"/>
    <w:basedOn w:val="a"/>
    <w:pPr>
      <w:spacing w:line="500" w:lineRule="exact"/>
      <w:ind w:left="317"/>
    </w:pPr>
    <w:rPr>
      <w:rFonts w:eastAsia="標楷體"/>
      <w:sz w:val="32"/>
      <w:szCs w:val="32"/>
    </w:rPr>
  </w:style>
  <w:style w:type="paragraph" w:styleId="2">
    <w:name w:val="Body Text Indent 2"/>
    <w:basedOn w:val="a"/>
    <w:link w:val="20"/>
    <w:pPr>
      <w:spacing w:line="480" w:lineRule="exact"/>
      <w:ind w:left="600"/>
      <w:jc w:val="both"/>
    </w:pPr>
    <w:rPr>
      <w:rFonts w:ascii="標楷體" w:eastAsia="標楷體" w:hAnsi="標楷體"/>
      <w:color w:val="000000"/>
      <w:lang w:val="x-none" w:eastAsia="x-none"/>
    </w:rPr>
  </w:style>
  <w:style w:type="paragraph" w:styleId="3">
    <w:name w:val="Body Text Indent 3"/>
    <w:basedOn w:val="a"/>
    <w:pPr>
      <w:spacing w:line="480" w:lineRule="exact"/>
      <w:ind w:left="456"/>
      <w:jc w:val="both"/>
    </w:pPr>
    <w:rPr>
      <w:rFonts w:ascii="標楷體" w:eastAsia="標楷體" w:hAnsi="標楷體"/>
      <w:color w:val="000000"/>
    </w:rPr>
  </w:style>
  <w:style w:type="paragraph" w:styleId="af0">
    <w:name w:val="Block Text"/>
    <w:basedOn w:val="a"/>
    <w:pPr>
      <w:spacing w:line="276" w:lineRule="auto"/>
      <w:ind w:left="454" w:right="45"/>
      <w:jc w:val="both"/>
    </w:pPr>
    <w:rPr>
      <w:rFonts w:eastAsia="標楷體"/>
    </w:rPr>
  </w:style>
  <w:style w:type="character" w:customStyle="1" w:styleId="ae">
    <w:name w:val="本文縮排 字元"/>
    <w:link w:val="ad"/>
    <w:rsid w:val="00C802B8"/>
    <w:rPr>
      <w:kern w:val="2"/>
      <w:sz w:val="24"/>
      <w:szCs w:val="24"/>
    </w:rPr>
  </w:style>
  <w:style w:type="character" w:customStyle="1" w:styleId="20">
    <w:name w:val="本文縮排 2 字元"/>
    <w:link w:val="2"/>
    <w:rsid w:val="00C802B8"/>
    <w:rPr>
      <w:rFonts w:ascii="標楷體" w:eastAsia="標楷體" w:hAnsi="標楷體"/>
      <w:color w:val="000000"/>
      <w:kern w:val="2"/>
      <w:sz w:val="24"/>
      <w:szCs w:val="24"/>
    </w:rPr>
  </w:style>
  <w:style w:type="paragraph" w:customStyle="1" w:styleId="4">
    <w:name w:val="彙標4"/>
    <w:basedOn w:val="a"/>
    <w:rsid w:val="00D73F83"/>
    <w:pPr>
      <w:spacing w:before="120"/>
      <w:jc w:val="both"/>
    </w:pPr>
    <w:rPr>
      <w:rFonts w:ascii="新細明體" w:hAnsi="標楷體"/>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Lines="20" w:before="72"/>
    </w:pPr>
    <w:rPr>
      <w:rFonts w:ascii="標楷體" w:eastAsia="標楷體" w:hAnsi="標楷體"/>
      <w:color w:val="000000"/>
    </w:rPr>
  </w:style>
  <w:style w:type="paragraph" w:styleId="a4">
    <w:name w:val="Document Map"/>
    <w:basedOn w:val="a"/>
    <w:semiHidden/>
    <w:pPr>
      <w:shd w:val="clear" w:color="auto" w:fill="000080"/>
    </w:pPr>
    <w:rPr>
      <w:rFonts w:ascii="Arial" w:hAnsi="Arial"/>
    </w:rPr>
  </w:style>
  <w:style w:type="paragraph" w:styleId="a5">
    <w:name w:val="Balloon Text"/>
    <w:basedOn w:val="a"/>
    <w:semiHidden/>
    <w:rPr>
      <w:rFonts w:ascii="Arial" w:hAnsi="Arial"/>
      <w:sz w:val="18"/>
      <w:szCs w:val="18"/>
    </w:rPr>
  </w:style>
  <w:style w:type="character" w:styleId="a6">
    <w:name w:val="annotation reference"/>
    <w:semiHidden/>
    <w:rPr>
      <w:sz w:val="18"/>
      <w:szCs w:val="18"/>
    </w:rPr>
  </w:style>
  <w:style w:type="paragraph" w:styleId="a7">
    <w:name w:val="annotation text"/>
    <w:basedOn w:val="a"/>
    <w:semiHidden/>
  </w:style>
  <w:style w:type="paragraph" w:styleId="a8">
    <w:name w:val="annotation subject"/>
    <w:basedOn w:val="a7"/>
    <w:next w:val="a7"/>
    <w:semiHidden/>
    <w:rPr>
      <w:b/>
      <w:bCs/>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character" w:customStyle="1" w:styleId="ac">
    <w:name w:val="字元 字元"/>
    <w:rPr>
      <w:kern w:val="2"/>
    </w:rPr>
  </w:style>
  <w:style w:type="paragraph" w:styleId="ad">
    <w:name w:val="Body Text Indent"/>
    <w:basedOn w:val="a"/>
    <w:link w:val="ae"/>
    <w:pPr>
      <w:spacing w:after="120"/>
      <w:ind w:leftChars="200" w:left="480"/>
    </w:pPr>
    <w:rPr>
      <w:lang w:val="x-none" w:eastAsia="x-none"/>
    </w:rPr>
  </w:style>
  <w:style w:type="paragraph" w:customStyle="1" w:styleId="af">
    <w:name w:val="公文(後續段落)"/>
    <w:basedOn w:val="a"/>
    <w:pPr>
      <w:spacing w:line="500" w:lineRule="exact"/>
      <w:ind w:left="317"/>
    </w:pPr>
    <w:rPr>
      <w:rFonts w:eastAsia="標楷體"/>
      <w:sz w:val="32"/>
      <w:szCs w:val="32"/>
    </w:rPr>
  </w:style>
  <w:style w:type="paragraph" w:styleId="2">
    <w:name w:val="Body Text Indent 2"/>
    <w:basedOn w:val="a"/>
    <w:link w:val="20"/>
    <w:pPr>
      <w:spacing w:line="480" w:lineRule="exact"/>
      <w:ind w:left="600"/>
      <w:jc w:val="both"/>
    </w:pPr>
    <w:rPr>
      <w:rFonts w:ascii="標楷體" w:eastAsia="標楷體" w:hAnsi="標楷體"/>
      <w:color w:val="000000"/>
      <w:lang w:val="x-none" w:eastAsia="x-none"/>
    </w:rPr>
  </w:style>
  <w:style w:type="paragraph" w:styleId="3">
    <w:name w:val="Body Text Indent 3"/>
    <w:basedOn w:val="a"/>
    <w:pPr>
      <w:spacing w:line="480" w:lineRule="exact"/>
      <w:ind w:left="456"/>
      <w:jc w:val="both"/>
    </w:pPr>
    <w:rPr>
      <w:rFonts w:ascii="標楷體" w:eastAsia="標楷體" w:hAnsi="標楷體"/>
      <w:color w:val="000000"/>
    </w:rPr>
  </w:style>
  <w:style w:type="paragraph" w:styleId="af0">
    <w:name w:val="Block Text"/>
    <w:basedOn w:val="a"/>
    <w:pPr>
      <w:spacing w:line="276" w:lineRule="auto"/>
      <w:ind w:left="454" w:right="45"/>
      <w:jc w:val="both"/>
    </w:pPr>
    <w:rPr>
      <w:rFonts w:eastAsia="標楷體"/>
    </w:rPr>
  </w:style>
  <w:style w:type="character" w:customStyle="1" w:styleId="ae">
    <w:name w:val="本文縮排 字元"/>
    <w:link w:val="ad"/>
    <w:rsid w:val="00C802B8"/>
    <w:rPr>
      <w:kern w:val="2"/>
      <w:sz w:val="24"/>
      <w:szCs w:val="24"/>
    </w:rPr>
  </w:style>
  <w:style w:type="character" w:customStyle="1" w:styleId="20">
    <w:name w:val="本文縮排 2 字元"/>
    <w:link w:val="2"/>
    <w:rsid w:val="00C802B8"/>
    <w:rPr>
      <w:rFonts w:ascii="標楷體" w:eastAsia="標楷體" w:hAnsi="標楷體"/>
      <w:color w:val="000000"/>
      <w:kern w:val="2"/>
      <w:sz w:val="24"/>
      <w:szCs w:val="24"/>
    </w:rPr>
  </w:style>
  <w:style w:type="paragraph" w:customStyle="1" w:styleId="4">
    <w:name w:val="彙標4"/>
    <w:basedOn w:val="a"/>
    <w:rsid w:val="00D73F83"/>
    <w:pPr>
      <w:spacing w:before="120"/>
      <w:jc w:val="both"/>
    </w:pPr>
    <w:rPr>
      <w:rFonts w:ascii="新細明體" w:hAnsi="標楷體"/>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769">
      <w:bodyDiv w:val="1"/>
      <w:marLeft w:val="0"/>
      <w:marRight w:val="0"/>
      <w:marTop w:val="0"/>
      <w:marBottom w:val="0"/>
      <w:divBdr>
        <w:top w:val="none" w:sz="0" w:space="0" w:color="auto"/>
        <w:left w:val="none" w:sz="0" w:space="0" w:color="auto"/>
        <w:bottom w:val="none" w:sz="0" w:space="0" w:color="auto"/>
        <w:right w:val="none" w:sz="0" w:space="0" w:color="auto"/>
      </w:divBdr>
      <w:divsChild>
        <w:div w:id="525683184">
          <w:marLeft w:val="0"/>
          <w:marRight w:val="0"/>
          <w:marTop w:val="0"/>
          <w:marBottom w:val="0"/>
          <w:divBdr>
            <w:top w:val="none" w:sz="0" w:space="0" w:color="auto"/>
            <w:left w:val="none" w:sz="0" w:space="0" w:color="auto"/>
            <w:bottom w:val="none" w:sz="0" w:space="0" w:color="auto"/>
            <w:right w:val="none" w:sz="0" w:space="0" w:color="auto"/>
          </w:divBdr>
        </w:div>
      </w:divsChild>
    </w:div>
    <w:div w:id="223879012">
      <w:bodyDiv w:val="1"/>
      <w:marLeft w:val="0"/>
      <w:marRight w:val="0"/>
      <w:marTop w:val="0"/>
      <w:marBottom w:val="0"/>
      <w:divBdr>
        <w:top w:val="none" w:sz="0" w:space="0" w:color="auto"/>
        <w:left w:val="none" w:sz="0" w:space="0" w:color="auto"/>
        <w:bottom w:val="none" w:sz="0" w:space="0" w:color="auto"/>
        <w:right w:val="none" w:sz="0" w:space="0" w:color="auto"/>
      </w:divBdr>
      <w:divsChild>
        <w:div w:id="619529181">
          <w:marLeft w:val="0"/>
          <w:marRight w:val="0"/>
          <w:marTop w:val="0"/>
          <w:marBottom w:val="0"/>
          <w:divBdr>
            <w:top w:val="none" w:sz="0" w:space="0" w:color="auto"/>
            <w:left w:val="none" w:sz="0" w:space="0" w:color="auto"/>
            <w:bottom w:val="none" w:sz="0" w:space="0" w:color="auto"/>
            <w:right w:val="none" w:sz="0" w:space="0" w:color="auto"/>
          </w:divBdr>
        </w:div>
      </w:divsChild>
    </w:div>
    <w:div w:id="228225995">
      <w:bodyDiv w:val="1"/>
      <w:marLeft w:val="0"/>
      <w:marRight w:val="0"/>
      <w:marTop w:val="0"/>
      <w:marBottom w:val="0"/>
      <w:divBdr>
        <w:top w:val="none" w:sz="0" w:space="0" w:color="auto"/>
        <w:left w:val="none" w:sz="0" w:space="0" w:color="auto"/>
        <w:bottom w:val="none" w:sz="0" w:space="0" w:color="auto"/>
        <w:right w:val="none" w:sz="0" w:space="0" w:color="auto"/>
      </w:divBdr>
    </w:div>
    <w:div w:id="685449688">
      <w:bodyDiv w:val="1"/>
      <w:marLeft w:val="0"/>
      <w:marRight w:val="0"/>
      <w:marTop w:val="0"/>
      <w:marBottom w:val="0"/>
      <w:divBdr>
        <w:top w:val="none" w:sz="0" w:space="0" w:color="auto"/>
        <w:left w:val="none" w:sz="0" w:space="0" w:color="auto"/>
        <w:bottom w:val="none" w:sz="0" w:space="0" w:color="auto"/>
        <w:right w:val="none" w:sz="0" w:space="0" w:color="auto"/>
      </w:divBdr>
      <w:divsChild>
        <w:div w:id="1812747061">
          <w:marLeft w:val="0"/>
          <w:marRight w:val="0"/>
          <w:marTop w:val="0"/>
          <w:marBottom w:val="0"/>
          <w:divBdr>
            <w:top w:val="none" w:sz="0" w:space="0" w:color="auto"/>
            <w:left w:val="none" w:sz="0" w:space="0" w:color="auto"/>
            <w:bottom w:val="none" w:sz="0" w:space="0" w:color="auto"/>
            <w:right w:val="none" w:sz="0" w:space="0" w:color="auto"/>
          </w:divBdr>
        </w:div>
      </w:divsChild>
    </w:div>
    <w:div w:id="762147742">
      <w:bodyDiv w:val="1"/>
      <w:marLeft w:val="0"/>
      <w:marRight w:val="0"/>
      <w:marTop w:val="0"/>
      <w:marBottom w:val="0"/>
      <w:divBdr>
        <w:top w:val="none" w:sz="0" w:space="0" w:color="auto"/>
        <w:left w:val="none" w:sz="0" w:space="0" w:color="auto"/>
        <w:bottom w:val="none" w:sz="0" w:space="0" w:color="auto"/>
        <w:right w:val="none" w:sz="0" w:space="0" w:color="auto"/>
      </w:divBdr>
      <w:divsChild>
        <w:div w:id="696463678">
          <w:marLeft w:val="0"/>
          <w:marRight w:val="0"/>
          <w:marTop w:val="0"/>
          <w:marBottom w:val="0"/>
          <w:divBdr>
            <w:top w:val="none" w:sz="0" w:space="0" w:color="auto"/>
            <w:left w:val="none" w:sz="0" w:space="0" w:color="auto"/>
            <w:bottom w:val="none" w:sz="0" w:space="0" w:color="auto"/>
            <w:right w:val="none" w:sz="0" w:space="0" w:color="auto"/>
          </w:divBdr>
        </w:div>
      </w:divsChild>
    </w:div>
    <w:div w:id="801078490">
      <w:bodyDiv w:val="1"/>
      <w:marLeft w:val="0"/>
      <w:marRight w:val="0"/>
      <w:marTop w:val="0"/>
      <w:marBottom w:val="0"/>
      <w:divBdr>
        <w:top w:val="none" w:sz="0" w:space="0" w:color="auto"/>
        <w:left w:val="none" w:sz="0" w:space="0" w:color="auto"/>
        <w:bottom w:val="none" w:sz="0" w:space="0" w:color="auto"/>
        <w:right w:val="none" w:sz="0" w:space="0" w:color="auto"/>
      </w:divBdr>
      <w:divsChild>
        <w:div w:id="1682659669">
          <w:marLeft w:val="0"/>
          <w:marRight w:val="0"/>
          <w:marTop w:val="0"/>
          <w:marBottom w:val="0"/>
          <w:divBdr>
            <w:top w:val="none" w:sz="0" w:space="0" w:color="auto"/>
            <w:left w:val="none" w:sz="0" w:space="0" w:color="auto"/>
            <w:bottom w:val="none" w:sz="0" w:space="0" w:color="auto"/>
            <w:right w:val="none" w:sz="0" w:space="0" w:color="auto"/>
          </w:divBdr>
        </w:div>
      </w:divsChild>
    </w:div>
    <w:div w:id="956450078">
      <w:bodyDiv w:val="1"/>
      <w:marLeft w:val="0"/>
      <w:marRight w:val="0"/>
      <w:marTop w:val="0"/>
      <w:marBottom w:val="0"/>
      <w:divBdr>
        <w:top w:val="none" w:sz="0" w:space="0" w:color="auto"/>
        <w:left w:val="none" w:sz="0" w:space="0" w:color="auto"/>
        <w:bottom w:val="none" w:sz="0" w:space="0" w:color="auto"/>
        <w:right w:val="none" w:sz="0" w:space="0" w:color="auto"/>
      </w:divBdr>
      <w:divsChild>
        <w:div w:id="927999500">
          <w:marLeft w:val="0"/>
          <w:marRight w:val="0"/>
          <w:marTop w:val="0"/>
          <w:marBottom w:val="0"/>
          <w:divBdr>
            <w:top w:val="none" w:sz="0" w:space="0" w:color="auto"/>
            <w:left w:val="none" w:sz="0" w:space="0" w:color="auto"/>
            <w:bottom w:val="none" w:sz="0" w:space="0" w:color="auto"/>
            <w:right w:val="none" w:sz="0" w:space="0" w:color="auto"/>
          </w:divBdr>
        </w:div>
      </w:divsChild>
    </w:div>
    <w:div w:id="983513248">
      <w:bodyDiv w:val="1"/>
      <w:marLeft w:val="0"/>
      <w:marRight w:val="0"/>
      <w:marTop w:val="0"/>
      <w:marBottom w:val="0"/>
      <w:divBdr>
        <w:top w:val="none" w:sz="0" w:space="0" w:color="auto"/>
        <w:left w:val="none" w:sz="0" w:space="0" w:color="auto"/>
        <w:bottom w:val="none" w:sz="0" w:space="0" w:color="auto"/>
        <w:right w:val="none" w:sz="0" w:space="0" w:color="auto"/>
      </w:divBdr>
      <w:divsChild>
        <w:div w:id="419446690">
          <w:marLeft w:val="547"/>
          <w:marRight w:val="0"/>
          <w:marTop w:val="115"/>
          <w:marBottom w:val="0"/>
          <w:divBdr>
            <w:top w:val="none" w:sz="0" w:space="0" w:color="auto"/>
            <w:left w:val="none" w:sz="0" w:space="0" w:color="auto"/>
            <w:bottom w:val="none" w:sz="0" w:space="0" w:color="auto"/>
            <w:right w:val="none" w:sz="0" w:space="0" w:color="auto"/>
          </w:divBdr>
        </w:div>
      </w:divsChild>
    </w:div>
    <w:div w:id="1011880036">
      <w:bodyDiv w:val="1"/>
      <w:marLeft w:val="0"/>
      <w:marRight w:val="0"/>
      <w:marTop w:val="0"/>
      <w:marBottom w:val="0"/>
      <w:divBdr>
        <w:top w:val="none" w:sz="0" w:space="0" w:color="auto"/>
        <w:left w:val="none" w:sz="0" w:space="0" w:color="auto"/>
        <w:bottom w:val="none" w:sz="0" w:space="0" w:color="auto"/>
        <w:right w:val="none" w:sz="0" w:space="0" w:color="auto"/>
      </w:divBdr>
      <w:divsChild>
        <w:div w:id="902985558">
          <w:marLeft w:val="547"/>
          <w:marRight w:val="0"/>
          <w:marTop w:val="115"/>
          <w:marBottom w:val="0"/>
          <w:divBdr>
            <w:top w:val="none" w:sz="0" w:space="0" w:color="auto"/>
            <w:left w:val="none" w:sz="0" w:space="0" w:color="auto"/>
            <w:bottom w:val="none" w:sz="0" w:space="0" w:color="auto"/>
            <w:right w:val="none" w:sz="0" w:space="0" w:color="auto"/>
          </w:divBdr>
        </w:div>
        <w:div w:id="1943564391">
          <w:marLeft w:val="547"/>
          <w:marRight w:val="0"/>
          <w:marTop w:val="115"/>
          <w:marBottom w:val="0"/>
          <w:divBdr>
            <w:top w:val="none" w:sz="0" w:space="0" w:color="auto"/>
            <w:left w:val="none" w:sz="0" w:space="0" w:color="auto"/>
            <w:bottom w:val="none" w:sz="0" w:space="0" w:color="auto"/>
            <w:right w:val="none" w:sz="0" w:space="0" w:color="auto"/>
          </w:divBdr>
        </w:div>
      </w:divsChild>
    </w:div>
    <w:div w:id="1120370438">
      <w:bodyDiv w:val="1"/>
      <w:marLeft w:val="0"/>
      <w:marRight w:val="0"/>
      <w:marTop w:val="0"/>
      <w:marBottom w:val="0"/>
      <w:divBdr>
        <w:top w:val="none" w:sz="0" w:space="0" w:color="auto"/>
        <w:left w:val="none" w:sz="0" w:space="0" w:color="auto"/>
        <w:bottom w:val="none" w:sz="0" w:space="0" w:color="auto"/>
        <w:right w:val="none" w:sz="0" w:space="0" w:color="auto"/>
      </w:divBdr>
    </w:div>
    <w:div w:id="1196190062">
      <w:bodyDiv w:val="1"/>
      <w:marLeft w:val="0"/>
      <w:marRight w:val="0"/>
      <w:marTop w:val="0"/>
      <w:marBottom w:val="0"/>
      <w:divBdr>
        <w:top w:val="none" w:sz="0" w:space="0" w:color="auto"/>
        <w:left w:val="none" w:sz="0" w:space="0" w:color="auto"/>
        <w:bottom w:val="none" w:sz="0" w:space="0" w:color="auto"/>
        <w:right w:val="none" w:sz="0" w:space="0" w:color="auto"/>
      </w:divBdr>
    </w:div>
    <w:div w:id="1249463356">
      <w:bodyDiv w:val="1"/>
      <w:marLeft w:val="0"/>
      <w:marRight w:val="0"/>
      <w:marTop w:val="0"/>
      <w:marBottom w:val="0"/>
      <w:divBdr>
        <w:top w:val="none" w:sz="0" w:space="0" w:color="auto"/>
        <w:left w:val="none" w:sz="0" w:space="0" w:color="auto"/>
        <w:bottom w:val="none" w:sz="0" w:space="0" w:color="auto"/>
        <w:right w:val="none" w:sz="0" w:space="0" w:color="auto"/>
      </w:divBdr>
    </w:div>
    <w:div w:id="1330525414">
      <w:bodyDiv w:val="1"/>
      <w:marLeft w:val="0"/>
      <w:marRight w:val="0"/>
      <w:marTop w:val="0"/>
      <w:marBottom w:val="0"/>
      <w:divBdr>
        <w:top w:val="none" w:sz="0" w:space="0" w:color="auto"/>
        <w:left w:val="none" w:sz="0" w:space="0" w:color="auto"/>
        <w:bottom w:val="none" w:sz="0" w:space="0" w:color="auto"/>
        <w:right w:val="none" w:sz="0" w:space="0" w:color="auto"/>
      </w:divBdr>
    </w:div>
    <w:div w:id="1418743880">
      <w:bodyDiv w:val="1"/>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 w:id="1729112458">
      <w:bodyDiv w:val="1"/>
      <w:marLeft w:val="0"/>
      <w:marRight w:val="0"/>
      <w:marTop w:val="0"/>
      <w:marBottom w:val="0"/>
      <w:divBdr>
        <w:top w:val="none" w:sz="0" w:space="0" w:color="auto"/>
        <w:left w:val="none" w:sz="0" w:space="0" w:color="auto"/>
        <w:bottom w:val="none" w:sz="0" w:space="0" w:color="auto"/>
        <w:right w:val="none" w:sz="0" w:space="0" w:color="auto"/>
      </w:divBdr>
      <w:divsChild>
        <w:div w:id="1034190726">
          <w:marLeft w:val="0"/>
          <w:marRight w:val="0"/>
          <w:marTop w:val="0"/>
          <w:marBottom w:val="0"/>
          <w:divBdr>
            <w:top w:val="none" w:sz="0" w:space="0" w:color="auto"/>
            <w:left w:val="none" w:sz="0" w:space="0" w:color="auto"/>
            <w:bottom w:val="none" w:sz="0" w:space="0" w:color="auto"/>
            <w:right w:val="none" w:sz="0" w:space="0" w:color="auto"/>
          </w:divBdr>
          <w:divsChild>
            <w:div w:id="19844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3040">
      <w:bodyDiv w:val="1"/>
      <w:marLeft w:val="0"/>
      <w:marRight w:val="0"/>
      <w:marTop w:val="0"/>
      <w:marBottom w:val="0"/>
      <w:divBdr>
        <w:top w:val="none" w:sz="0" w:space="0" w:color="auto"/>
        <w:left w:val="none" w:sz="0" w:space="0" w:color="auto"/>
        <w:bottom w:val="none" w:sz="0" w:space="0" w:color="auto"/>
        <w:right w:val="none" w:sz="0" w:space="0" w:color="auto"/>
      </w:divBdr>
      <w:divsChild>
        <w:div w:id="1523518421">
          <w:marLeft w:val="0"/>
          <w:marRight w:val="0"/>
          <w:marTop w:val="0"/>
          <w:marBottom w:val="0"/>
          <w:divBdr>
            <w:top w:val="none" w:sz="0" w:space="0" w:color="auto"/>
            <w:left w:val="none" w:sz="0" w:space="0" w:color="auto"/>
            <w:bottom w:val="none" w:sz="0" w:space="0" w:color="auto"/>
            <w:right w:val="none" w:sz="0" w:space="0" w:color="auto"/>
          </w:divBdr>
        </w:div>
      </w:divsChild>
    </w:div>
    <w:div w:id="1910186678">
      <w:bodyDiv w:val="1"/>
      <w:marLeft w:val="0"/>
      <w:marRight w:val="0"/>
      <w:marTop w:val="0"/>
      <w:marBottom w:val="0"/>
      <w:divBdr>
        <w:top w:val="none" w:sz="0" w:space="0" w:color="auto"/>
        <w:left w:val="none" w:sz="0" w:space="0" w:color="auto"/>
        <w:bottom w:val="none" w:sz="0" w:space="0" w:color="auto"/>
        <w:right w:val="none" w:sz="0" w:space="0" w:color="auto"/>
      </w:divBdr>
    </w:div>
    <w:div w:id="1991904493">
      <w:bodyDiv w:val="1"/>
      <w:marLeft w:val="0"/>
      <w:marRight w:val="0"/>
      <w:marTop w:val="0"/>
      <w:marBottom w:val="0"/>
      <w:divBdr>
        <w:top w:val="none" w:sz="0" w:space="0" w:color="auto"/>
        <w:left w:val="none" w:sz="0" w:space="0" w:color="auto"/>
        <w:bottom w:val="none" w:sz="0" w:space="0" w:color="auto"/>
        <w:right w:val="none" w:sz="0" w:space="0" w:color="auto"/>
      </w:divBdr>
      <w:divsChild>
        <w:div w:id="207632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DD1F-17F7-42D9-A684-9091F150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760</Words>
  <Characters>4334</Characters>
  <Application>Microsoft Office Word</Application>
  <DocSecurity>0</DocSecurity>
  <Lines>36</Lines>
  <Paragraphs>10</Paragraphs>
  <ScaleCrop>false</ScaleCrop>
  <Company>ficr</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2006年精算簽證報告　執行細則</dc:title>
  <cp:lastModifiedBy>侯丁月</cp:lastModifiedBy>
  <cp:revision>6</cp:revision>
  <cp:lastPrinted>2015-12-08T07:38:00Z</cp:lastPrinted>
  <dcterms:created xsi:type="dcterms:W3CDTF">2015-12-03T03:17:00Z</dcterms:created>
  <dcterms:modified xsi:type="dcterms:W3CDTF">2015-12-08T07:38:00Z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000800fa03000000000001024120</vt:lpwstr>
  </property>
</Properties>
</file>