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1738" w:rsidRPr="00DE15BA" w:rsidRDefault="00BF1738" w:rsidP="00DE15BA">
      <w:pPr>
        <w:jc w:val="center"/>
        <w:rPr>
          <w:rFonts w:ascii="標楷體" w:eastAsia="標楷體" w:hAnsi="標楷體"/>
          <w:sz w:val="40"/>
          <w:szCs w:val="40"/>
        </w:rPr>
      </w:pPr>
      <w:r>
        <w:rPr>
          <w:rFonts w:ascii="標楷體" w:eastAsia="標楷體" w:hAnsi="標楷體" w:hint="eastAsia"/>
          <w:sz w:val="40"/>
          <w:szCs w:val="40"/>
        </w:rPr>
        <w:t>人身保險及財產保險安定基金計提標準</w:t>
      </w:r>
    </w:p>
    <w:p w:rsidR="00BF1738" w:rsidRPr="00B43298" w:rsidRDefault="00BF1738">
      <w:pPr>
        <w:rPr>
          <w:rFonts w:ascii="標楷體" w:eastAsia="標楷體" w:hAnsi="標楷體"/>
        </w:rPr>
      </w:pPr>
    </w:p>
    <w:p w:rsidR="00BF1738" w:rsidRPr="00B43298" w:rsidRDefault="00BF1738" w:rsidP="005C5D21">
      <w:pPr>
        <w:pStyle w:val="ListParagraph"/>
        <w:spacing w:line="460" w:lineRule="exact"/>
        <w:ind w:leftChars="0" w:left="31680" w:right="-26" w:hangingChars="100" w:firstLine="31680"/>
        <w:rPr>
          <w:rFonts w:ascii="標楷體" w:eastAsia="標楷體" w:hAnsi="標楷體"/>
          <w:sz w:val="28"/>
          <w:szCs w:val="28"/>
        </w:rPr>
      </w:pPr>
      <w:r w:rsidRPr="00B43298">
        <w:rPr>
          <w:rFonts w:ascii="標楷體" w:eastAsia="標楷體" w:hAnsi="標楷體" w:hint="eastAsia"/>
          <w:sz w:val="28"/>
          <w:szCs w:val="28"/>
        </w:rPr>
        <w:t>第一條</w:t>
      </w:r>
      <w:r w:rsidRPr="00B43298">
        <w:rPr>
          <w:rFonts w:ascii="標楷體" w:eastAsia="標楷體" w:hAnsi="標楷體"/>
          <w:sz w:val="28"/>
          <w:szCs w:val="28"/>
        </w:rPr>
        <w:t xml:space="preserve">    </w:t>
      </w:r>
      <w:r w:rsidRPr="00B43298">
        <w:rPr>
          <w:rFonts w:ascii="標楷體" w:eastAsia="標楷體" w:hAnsi="標楷體" w:hint="eastAsia"/>
          <w:sz w:val="28"/>
          <w:szCs w:val="28"/>
        </w:rPr>
        <w:t>依據保險法第一百四十三條之一第三項規定辦理。</w:t>
      </w:r>
    </w:p>
    <w:p w:rsidR="00BF1738" w:rsidRPr="00B43298" w:rsidRDefault="00BF1738" w:rsidP="005C5D21">
      <w:pPr>
        <w:pStyle w:val="ListParagraph"/>
        <w:tabs>
          <w:tab w:val="left" w:pos="912"/>
        </w:tabs>
        <w:spacing w:line="460" w:lineRule="exact"/>
        <w:ind w:leftChars="0" w:left="31680" w:right="-26" w:hangingChars="303" w:firstLine="31680"/>
        <w:rPr>
          <w:rFonts w:ascii="標楷體" w:eastAsia="標楷體" w:hAnsi="標楷體"/>
          <w:sz w:val="28"/>
          <w:szCs w:val="28"/>
        </w:rPr>
      </w:pPr>
      <w:r w:rsidRPr="00B43298">
        <w:rPr>
          <w:rFonts w:ascii="標楷體" w:eastAsia="標楷體" w:hAnsi="標楷體" w:hint="eastAsia"/>
          <w:sz w:val="28"/>
          <w:szCs w:val="28"/>
        </w:rPr>
        <w:t>第二條</w:t>
      </w:r>
      <w:r w:rsidRPr="00B43298">
        <w:rPr>
          <w:rFonts w:ascii="標楷體" w:eastAsia="標楷體" w:hAnsi="標楷體"/>
          <w:sz w:val="28"/>
          <w:szCs w:val="28"/>
        </w:rPr>
        <w:t xml:space="preserve">    </w:t>
      </w:r>
      <w:r w:rsidRPr="00B43298">
        <w:rPr>
          <w:rFonts w:ascii="標楷體" w:eastAsia="標楷體" w:hAnsi="標楷體" w:hint="eastAsia"/>
          <w:sz w:val="28"/>
          <w:szCs w:val="28"/>
        </w:rPr>
        <w:t>自中華民國一百零三年七月一日起，人身保險業所提撥之人身保險安定基金，應以總保險費收入為基礎，並按「資本適足率」及「經營管理績效指標評等」等二風險指標核算之差別提撥率計提，差別提撥率之核算方式如下</w:t>
      </w:r>
      <w:r w:rsidRPr="00B43298">
        <w:rPr>
          <w:rFonts w:ascii="標楷體" w:eastAsia="標楷體" w:hAnsi="標楷體"/>
          <w:sz w:val="28"/>
          <w:szCs w:val="28"/>
        </w:rPr>
        <w:t>:</w:t>
      </w:r>
    </w:p>
    <w:p w:rsidR="00BF1738" w:rsidRPr="00B43298" w:rsidRDefault="00BF1738" w:rsidP="005C5D21">
      <w:pPr>
        <w:pStyle w:val="ListParagraph"/>
        <w:spacing w:line="460" w:lineRule="exact"/>
        <w:ind w:leftChars="353" w:left="31680" w:right="-26" w:hangingChars="203" w:firstLine="31680"/>
        <w:rPr>
          <w:rFonts w:ascii="標楷體" w:eastAsia="標楷體" w:hAnsi="標楷體"/>
          <w:sz w:val="28"/>
          <w:szCs w:val="28"/>
        </w:rPr>
      </w:pPr>
      <w:r w:rsidRPr="00B43298">
        <w:rPr>
          <w:rFonts w:ascii="標楷體" w:eastAsia="標楷體" w:hAnsi="標楷體" w:hint="eastAsia"/>
          <w:sz w:val="28"/>
          <w:szCs w:val="28"/>
        </w:rPr>
        <w:t>一、「資本適足率」分為「百分之三百以上」、「百分之二百五十以上，未達百分之三百」、「百分之二百以上，未達百分之二百五十」、「百分之一百五十以上，未達百分之二百」、「未達百分之一百五十」等五級。</w:t>
      </w:r>
    </w:p>
    <w:p w:rsidR="00BF1738" w:rsidRPr="00B43298" w:rsidRDefault="00BF1738" w:rsidP="005C5D21">
      <w:pPr>
        <w:pStyle w:val="ListParagraph"/>
        <w:spacing w:line="460" w:lineRule="exact"/>
        <w:ind w:leftChars="354" w:left="31680" w:right="-26" w:hangingChars="202" w:firstLine="31680"/>
        <w:rPr>
          <w:rFonts w:ascii="標楷體" w:eastAsia="標楷體" w:hAnsi="標楷體"/>
          <w:sz w:val="28"/>
          <w:szCs w:val="28"/>
        </w:rPr>
      </w:pPr>
      <w:r w:rsidRPr="00B43298">
        <w:rPr>
          <w:rFonts w:ascii="標楷體" w:eastAsia="標楷體" w:hAnsi="標楷體" w:hint="eastAsia"/>
          <w:sz w:val="28"/>
          <w:szCs w:val="28"/>
        </w:rPr>
        <w:t>二、「經營管理績效指標評等」分為第一級至第五級等五級，其評等係根據「風險管理」、「財務結構」、「指標業務」與「法務遵循」等四類共八項指標如附件所列「人身保險安定基金差別提撥率之核算方式」，以各指標之評等及權重所計算之加權平均值決定各公司之等級。</w:t>
      </w:r>
    </w:p>
    <w:p w:rsidR="00BF1738" w:rsidRPr="00B43298" w:rsidRDefault="00BF1738" w:rsidP="005C5D21">
      <w:pPr>
        <w:pStyle w:val="ListParagraph"/>
        <w:spacing w:line="460" w:lineRule="exact"/>
        <w:ind w:leftChars="354" w:left="31680" w:right="-26" w:hangingChars="202" w:firstLine="31680"/>
        <w:rPr>
          <w:rFonts w:ascii="標楷體" w:eastAsia="標楷體" w:hAnsi="標楷體"/>
          <w:sz w:val="28"/>
          <w:szCs w:val="28"/>
        </w:rPr>
      </w:pPr>
      <w:r w:rsidRPr="00B43298">
        <w:rPr>
          <w:rFonts w:ascii="標楷體" w:eastAsia="標楷體" w:hAnsi="標楷體" w:hint="eastAsia"/>
          <w:sz w:val="28"/>
          <w:szCs w:val="28"/>
        </w:rPr>
        <w:t>三、提撥率係由前二款所定「資本適足率」及「經營管理績效指標評等」分布區間所構成之二維矩陣決定，將提撥率分為六級，實施第一年至第四年之各級提撥率如附件所列「人身保險安定基金差別提撥率之核算方式」，實施第四年以後各年之各級提撥率均與第四年相同。</w:t>
      </w:r>
    </w:p>
    <w:p w:rsidR="00BF1738" w:rsidRPr="00686519" w:rsidRDefault="00BF1738" w:rsidP="005C5D21">
      <w:pPr>
        <w:spacing w:line="460" w:lineRule="exact"/>
        <w:ind w:left="31680" w:right="-26" w:hangingChars="303" w:firstLine="31680"/>
        <w:rPr>
          <w:rFonts w:ascii="標楷體" w:eastAsia="標楷體" w:hAnsi="標楷體"/>
          <w:sz w:val="28"/>
          <w:szCs w:val="28"/>
        </w:rPr>
      </w:pPr>
      <w:r w:rsidRPr="00686519">
        <w:rPr>
          <w:rFonts w:ascii="標楷體" w:eastAsia="標楷體" w:hAnsi="標楷體" w:hint="eastAsia"/>
          <w:sz w:val="28"/>
          <w:szCs w:val="28"/>
        </w:rPr>
        <w:t>第三條</w:t>
      </w:r>
      <w:r>
        <w:rPr>
          <w:rFonts w:ascii="標楷體" w:eastAsia="標楷體" w:hAnsi="標楷體"/>
          <w:sz w:val="28"/>
          <w:szCs w:val="28"/>
        </w:rPr>
        <w:t xml:space="preserve">    </w:t>
      </w:r>
      <w:r w:rsidRPr="00686519">
        <w:rPr>
          <w:rFonts w:ascii="標楷體" w:eastAsia="標楷體" w:hAnsi="標楷體" w:hint="eastAsia"/>
          <w:sz w:val="28"/>
          <w:szCs w:val="28"/>
        </w:rPr>
        <w:t>自一百零三年七月一日起，財產保險業所提撥之財產保險安定基金，應以總保險費收入為基礎，並按「資本適足率」及「經營管理績效指標評等」等二風險指標核算之差別提撥率計提，差別提撥率之核算方式如下</w:t>
      </w:r>
      <w:r w:rsidRPr="00686519">
        <w:rPr>
          <w:rFonts w:ascii="標楷體" w:eastAsia="標楷體" w:hAnsi="標楷體"/>
          <w:sz w:val="28"/>
          <w:szCs w:val="28"/>
        </w:rPr>
        <w:t>:</w:t>
      </w:r>
    </w:p>
    <w:p w:rsidR="00BF1738" w:rsidRPr="00686519" w:rsidRDefault="00BF1738" w:rsidP="005C5D21">
      <w:pPr>
        <w:spacing w:line="460" w:lineRule="exact"/>
        <w:ind w:leftChars="354" w:left="31680" w:right="-26" w:hangingChars="202" w:firstLine="31680"/>
        <w:rPr>
          <w:rFonts w:ascii="標楷體" w:eastAsia="標楷體" w:hAnsi="標楷體"/>
          <w:sz w:val="28"/>
          <w:szCs w:val="28"/>
        </w:rPr>
      </w:pPr>
      <w:r w:rsidRPr="00686519">
        <w:rPr>
          <w:rFonts w:ascii="標楷體" w:eastAsia="標楷體" w:hAnsi="標楷體" w:hint="eastAsia"/>
          <w:sz w:val="28"/>
          <w:szCs w:val="28"/>
        </w:rPr>
        <w:t>一、「資本適足率」分為「百分之五百以上」、「百分之四百以上，未達百分之五百」、「百分之三百以上，未達百分之四百」、「百分之二百以上，未達百分之三百」、「未達百分之二百」等五級。</w:t>
      </w:r>
    </w:p>
    <w:p w:rsidR="00BF1738" w:rsidRPr="00686519" w:rsidRDefault="00BF1738" w:rsidP="005C5D21">
      <w:pPr>
        <w:spacing w:line="460" w:lineRule="exact"/>
        <w:ind w:leftChars="354" w:left="31680" w:right="-26" w:hangingChars="202" w:firstLine="31680"/>
        <w:rPr>
          <w:rFonts w:ascii="標楷體" w:eastAsia="標楷體" w:hAnsi="標楷體"/>
          <w:sz w:val="28"/>
          <w:szCs w:val="28"/>
        </w:rPr>
      </w:pPr>
      <w:r w:rsidRPr="00686519">
        <w:rPr>
          <w:rFonts w:ascii="標楷體" w:eastAsia="標楷體" w:hAnsi="標楷體" w:hint="eastAsia"/>
          <w:sz w:val="28"/>
          <w:szCs w:val="28"/>
        </w:rPr>
        <w:t>二、「經營管理績效指標評等」分為第一級至第五級等五級，其評等係根據「風險管理」、「財務結構」、「指標業務」與「法務遵循」等四類共八項指標如附件所列「財產保險安定基金差別提撥率之核算方式」，以各指標之評等及權重所計算之加權平均值決定各公司之等級。</w:t>
      </w:r>
    </w:p>
    <w:p w:rsidR="00BF1738" w:rsidRPr="00B43298" w:rsidRDefault="00BF1738" w:rsidP="005C5D21">
      <w:pPr>
        <w:tabs>
          <w:tab w:val="left" w:pos="612"/>
        </w:tabs>
        <w:spacing w:line="460" w:lineRule="exact"/>
        <w:ind w:leftChars="354" w:left="31680" w:right="-26" w:hangingChars="202" w:firstLine="31680"/>
        <w:rPr>
          <w:rFonts w:ascii="標楷體" w:eastAsia="標楷體" w:hAnsi="標楷體"/>
          <w:sz w:val="28"/>
          <w:szCs w:val="28"/>
        </w:rPr>
      </w:pPr>
      <w:r w:rsidRPr="00686519">
        <w:rPr>
          <w:rFonts w:ascii="標楷體" w:eastAsia="標楷體" w:hAnsi="標楷體" w:hint="eastAsia"/>
          <w:sz w:val="28"/>
          <w:szCs w:val="28"/>
        </w:rPr>
        <w:t>三、提撥率係由前二款所定「資本</w:t>
      </w:r>
      <w:r w:rsidRPr="00B43298">
        <w:rPr>
          <w:rFonts w:ascii="標楷體" w:eastAsia="標楷體" w:hAnsi="標楷體" w:hint="eastAsia"/>
          <w:sz w:val="28"/>
          <w:szCs w:val="28"/>
        </w:rPr>
        <w:t>適足率」及「經營管理績效指標評等」分布區間所構成之二維矩陣決定，將提撥率分為六級如附件所列「財產保險安定基金差別提撥率之核算方式」。</w:t>
      </w:r>
    </w:p>
    <w:p w:rsidR="00BF1738" w:rsidRPr="00686519" w:rsidRDefault="00BF1738" w:rsidP="00B43298">
      <w:pPr>
        <w:spacing w:line="460" w:lineRule="exact"/>
        <w:jc w:val="both"/>
        <w:rPr>
          <w:rFonts w:ascii="標楷體" w:eastAsia="標楷體" w:hAnsi="標楷體"/>
          <w:kern w:val="0"/>
          <w:sz w:val="28"/>
          <w:szCs w:val="28"/>
        </w:rPr>
      </w:pPr>
      <w:r>
        <w:rPr>
          <w:rFonts w:ascii="標楷體" w:eastAsia="標楷體" w:hAnsi="標楷體" w:hint="eastAsia"/>
          <w:kern w:val="0"/>
          <w:sz w:val="28"/>
          <w:szCs w:val="28"/>
        </w:rPr>
        <w:t>第四條</w:t>
      </w:r>
      <w:r>
        <w:rPr>
          <w:rFonts w:ascii="標楷體" w:eastAsia="標楷體" w:hAnsi="標楷體"/>
          <w:kern w:val="0"/>
          <w:sz w:val="28"/>
          <w:szCs w:val="28"/>
        </w:rPr>
        <w:t xml:space="preserve">    </w:t>
      </w:r>
      <w:r w:rsidRPr="00686519">
        <w:rPr>
          <w:rFonts w:ascii="標楷體" w:eastAsia="標楷體" w:hAnsi="標楷體" w:hint="eastAsia"/>
          <w:kern w:val="0"/>
          <w:sz w:val="28"/>
          <w:szCs w:val="28"/>
        </w:rPr>
        <w:t>保險安定基金風險指標之核算及查核方式</w:t>
      </w:r>
      <w:r w:rsidRPr="00686519">
        <w:rPr>
          <w:rFonts w:ascii="標楷體" w:eastAsia="標楷體" w:hAnsi="標楷體"/>
          <w:kern w:val="0"/>
          <w:sz w:val="28"/>
          <w:szCs w:val="28"/>
        </w:rPr>
        <w:t xml:space="preserve">:  </w:t>
      </w:r>
    </w:p>
    <w:p w:rsidR="00BF1738" w:rsidRPr="00686519" w:rsidRDefault="00BF1738" w:rsidP="00B43298">
      <w:pPr>
        <w:numPr>
          <w:ilvl w:val="0"/>
          <w:numId w:val="1"/>
        </w:numPr>
        <w:tabs>
          <w:tab w:val="left" w:pos="743"/>
        </w:tabs>
        <w:spacing w:line="460" w:lineRule="exact"/>
        <w:ind w:left="1418" w:hanging="567"/>
        <w:jc w:val="both"/>
        <w:rPr>
          <w:rFonts w:ascii="標楷體" w:eastAsia="標楷體" w:hAnsi="標楷體"/>
          <w:kern w:val="0"/>
          <w:sz w:val="28"/>
          <w:szCs w:val="28"/>
        </w:rPr>
      </w:pPr>
      <w:r w:rsidRPr="00686519">
        <w:rPr>
          <w:rFonts w:ascii="標楷體" w:eastAsia="標楷體" w:hAnsi="標楷體" w:hint="eastAsia"/>
          <w:kern w:val="0"/>
          <w:sz w:val="28"/>
          <w:szCs w:val="28"/>
        </w:rPr>
        <w:t>「資本適足率」之資料認定時點部分，以保險業者向本會申報前一年度十二月三十一日之資料為基準。</w:t>
      </w:r>
    </w:p>
    <w:p w:rsidR="00BF1738" w:rsidRPr="00686519" w:rsidRDefault="00BF1738" w:rsidP="00B43298">
      <w:pPr>
        <w:numPr>
          <w:ilvl w:val="0"/>
          <w:numId w:val="1"/>
        </w:numPr>
        <w:tabs>
          <w:tab w:val="left" w:pos="743"/>
        </w:tabs>
        <w:spacing w:line="460" w:lineRule="exact"/>
        <w:ind w:left="1418" w:hanging="567"/>
        <w:jc w:val="both"/>
        <w:rPr>
          <w:rFonts w:ascii="標楷體" w:eastAsia="標楷體" w:hAnsi="標楷體"/>
          <w:kern w:val="0"/>
          <w:sz w:val="28"/>
          <w:szCs w:val="28"/>
        </w:rPr>
      </w:pPr>
      <w:r w:rsidRPr="00686519">
        <w:rPr>
          <w:rFonts w:ascii="標楷體" w:eastAsia="標楷體" w:hAnsi="標楷體" w:hint="eastAsia"/>
          <w:kern w:val="0"/>
          <w:sz w:val="28"/>
          <w:szCs w:val="28"/>
        </w:rPr>
        <w:t>財產保險業及人身保險險業之「經營管理績效指標評等」各八項指標部分，其中涉及引據各公司資訊公開網頁資料之「利差率指標之資金運用收益率」、「財務槓桿比率」、「自留綜合率」及「自留保費變動率」等指標，以保險業經會計師查核簽證之年度財務報表相關數據為基準</w:t>
      </w:r>
      <w:r w:rsidRPr="00686519">
        <w:rPr>
          <w:rFonts w:ascii="標楷體" w:eastAsia="標楷體" w:hAnsi="標楷體"/>
          <w:kern w:val="0"/>
          <w:sz w:val="28"/>
          <w:szCs w:val="28"/>
        </w:rPr>
        <w:t>;</w:t>
      </w:r>
      <w:r w:rsidRPr="00686519">
        <w:rPr>
          <w:rFonts w:ascii="標楷體" w:eastAsia="標楷體" w:hAnsi="標楷體" w:hint="eastAsia"/>
          <w:kern w:val="0"/>
          <w:sz w:val="28"/>
          <w:szCs w:val="28"/>
        </w:rPr>
        <w:t>至於涉及本會監理資訊之「流動性貼水」、「利差率指標之平均責任準備金提存利率」、「風控長與內部風險模型」、「風控長與風險管理委員會」、「保單初年度等價保費占初年度保費比例」、「保單死亡保險平均保額」、「微型保險保費收入」、「精算人員人數」、「年度簽證精算報告評等」及「法遵指標」等指標，以至每年四月底止保險業者依規定提送本會、財團法人保險事業發展中心或本會內部統計資料為基準。</w:t>
      </w:r>
    </w:p>
    <w:p w:rsidR="00BF1738" w:rsidRPr="00686519" w:rsidRDefault="00BF1738" w:rsidP="00B43298">
      <w:pPr>
        <w:numPr>
          <w:ilvl w:val="0"/>
          <w:numId w:val="1"/>
        </w:numPr>
        <w:tabs>
          <w:tab w:val="left" w:pos="693"/>
        </w:tabs>
        <w:spacing w:line="460" w:lineRule="exact"/>
        <w:ind w:left="1418" w:hanging="567"/>
        <w:jc w:val="both"/>
        <w:rPr>
          <w:rFonts w:ascii="標楷體" w:eastAsia="標楷體" w:hAnsi="標楷體"/>
          <w:kern w:val="0"/>
          <w:sz w:val="28"/>
          <w:szCs w:val="28"/>
        </w:rPr>
      </w:pPr>
      <w:r w:rsidRPr="00686519">
        <w:rPr>
          <w:rFonts w:ascii="標楷體" w:eastAsia="標楷體" w:hAnsi="標楷體" w:hint="eastAsia"/>
          <w:kern w:val="0"/>
          <w:sz w:val="28"/>
          <w:szCs w:val="28"/>
        </w:rPr>
        <w:t>除第六款及第七款之保險業外，各保險業應於每年五月十日前向財團法人保險安定基金申報其依上開基準資料核算各年度計提期間所適用之保險安定基金提撥率等級及相關佐證資料，供財團法人保險安定基金審查。</w:t>
      </w:r>
    </w:p>
    <w:p w:rsidR="00BF1738" w:rsidRPr="00686519" w:rsidRDefault="00BF1738" w:rsidP="00B43298">
      <w:pPr>
        <w:numPr>
          <w:ilvl w:val="0"/>
          <w:numId w:val="1"/>
        </w:numPr>
        <w:spacing w:line="460" w:lineRule="exact"/>
        <w:ind w:left="1418" w:hanging="567"/>
        <w:jc w:val="both"/>
        <w:rPr>
          <w:rFonts w:ascii="標楷體" w:eastAsia="標楷體" w:hAnsi="標楷體"/>
          <w:kern w:val="0"/>
          <w:sz w:val="28"/>
          <w:szCs w:val="28"/>
        </w:rPr>
      </w:pPr>
      <w:r w:rsidRPr="00686519">
        <w:rPr>
          <w:rFonts w:ascii="標楷體" w:eastAsia="標楷體" w:hAnsi="標楷體" w:hint="eastAsia"/>
          <w:kern w:val="0"/>
          <w:sz w:val="28"/>
          <w:szCs w:val="28"/>
        </w:rPr>
        <w:t>爲確認保險業申報風險指標相關資料、檔案之正確性，本會得委託財團法人保險安定基金對保險業進行查核。</w:t>
      </w:r>
    </w:p>
    <w:p w:rsidR="00BF1738" w:rsidRPr="00686519" w:rsidRDefault="00BF1738" w:rsidP="00B43298">
      <w:pPr>
        <w:numPr>
          <w:ilvl w:val="0"/>
          <w:numId w:val="1"/>
        </w:numPr>
        <w:tabs>
          <w:tab w:val="left" w:pos="1418"/>
        </w:tabs>
        <w:spacing w:line="460" w:lineRule="exact"/>
        <w:ind w:left="1418" w:hanging="567"/>
        <w:jc w:val="both"/>
        <w:rPr>
          <w:rFonts w:ascii="標楷體" w:eastAsia="標楷體" w:hAnsi="標楷體"/>
          <w:kern w:val="0"/>
          <w:sz w:val="28"/>
          <w:szCs w:val="28"/>
        </w:rPr>
      </w:pPr>
      <w:r w:rsidRPr="00686519">
        <w:rPr>
          <w:rFonts w:ascii="標楷體" w:eastAsia="標楷體" w:hAnsi="標楷體" w:hint="eastAsia"/>
          <w:kern w:val="0"/>
          <w:sz w:val="28"/>
          <w:szCs w:val="28"/>
        </w:rPr>
        <w:t>保險業因辦理合併或概括承受</w:t>
      </w:r>
      <w:r w:rsidRPr="00686519">
        <w:rPr>
          <w:rFonts w:ascii="標楷體" w:eastAsia="標楷體" w:hAnsi="標楷體"/>
          <w:kern w:val="0"/>
          <w:sz w:val="28"/>
          <w:szCs w:val="28"/>
        </w:rPr>
        <w:t>(</w:t>
      </w:r>
      <w:r w:rsidRPr="00686519">
        <w:rPr>
          <w:rFonts w:ascii="標楷體" w:eastAsia="標楷體" w:hAnsi="標楷體" w:hint="eastAsia"/>
          <w:kern w:val="0"/>
          <w:sz w:val="28"/>
          <w:szCs w:val="28"/>
        </w:rPr>
        <w:t>以下簡稱合併</w:t>
      </w:r>
      <w:r w:rsidRPr="00686519">
        <w:rPr>
          <w:rFonts w:ascii="標楷體" w:eastAsia="標楷體" w:hAnsi="標楷體"/>
          <w:kern w:val="0"/>
          <w:sz w:val="28"/>
          <w:szCs w:val="28"/>
        </w:rPr>
        <w:t>)</w:t>
      </w:r>
      <w:r w:rsidRPr="00686519">
        <w:rPr>
          <w:rFonts w:ascii="標楷體" w:eastAsia="標楷體" w:hAnsi="標楷體" w:hint="eastAsia"/>
          <w:kern w:val="0"/>
          <w:sz w:val="28"/>
          <w:szCs w:val="28"/>
        </w:rPr>
        <w:t>時，其提撥率等級之核算方式：</w:t>
      </w:r>
    </w:p>
    <w:p w:rsidR="00BF1738" w:rsidRPr="00686519" w:rsidRDefault="00BF1738" w:rsidP="005C5D21">
      <w:pPr>
        <w:numPr>
          <w:ilvl w:val="0"/>
          <w:numId w:val="2"/>
        </w:numPr>
        <w:tabs>
          <w:tab w:val="left" w:pos="1985"/>
        </w:tabs>
        <w:spacing w:line="460" w:lineRule="exact"/>
        <w:ind w:leftChars="590" w:left="31680" w:hangingChars="203" w:firstLine="31680"/>
        <w:jc w:val="both"/>
        <w:rPr>
          <w:rFonts w:ascii="標楷體" w:eastAsia="標楷體" w:hAnsi="標楷體"/>
          <w:kern w:val="0"/>
          <w:sz w:val="28"/>
          <w:szCs w:val="28"/>
        </w:rPr>
      </w:pPr>
      <w:r w:rsidRPr="00686519">
        <w:rPr>
          <w:rFonts w:ascii="標楷體" w:eastAsia="標楷體" w:hAnsi="標楷體" w:hint="eastAsia"/>
          <w:kern w:val="0"/>
          <w:sz w:val="28"/>
          <w:szCs w:val="28"/>
        </w:rPr>
        <w:t>合併當期：以合併前個別保險業之風險指標分別核算其提撥率等級。所謂合併當期係指合併基準日所屬之計提期間</w:t>
      </w:r>
      <w:r w:rsidRPr="00686519">
        <w:rPr>
          <w:rFonts w:ascii="標楷體" w:eastAsia="標楷體" w:hAnsi="標楷體"/>
          <w:kern w:val="0"/>
          <w:sz w:val="28"/>
          <w:szCs w:val="28"/>
        </w:rPr>
        <w:t>(</w:t>
      </w:r>
      <w:r w:rsidRPr="00686519">
        <w:rPr>
          <w:rFonts w:ascii="標楷體" w:eastAsia="標楷體" w:hAnsi="標楷體" w:hint="eastAsia"/>
          <w:kern w:val="0"/>
          <w:sz w:val="28"/>
          <w:szCs w:val="28"/>
        </w:rPr>
        <w:t>每年七月一日至次年六月三十日</w:t>
      </w:r>
      <w:r w:rsidRPr="00686519">
        <w:rPr>
          <w:rFonts w:ascii="標楷體" w:eastAsia="標楷體" w:hAnsi="標楷體"/>
          <w:kern w:val="0"/>
          <w:sz w:val="28"/>
          <w:szCs w:val="28"/>
        </w:rPr>
        <w:t>)</w:t>
      </w:r>
      <w:r w:rsidRPr="00686519">
        <w:rPr>
          <w:rFonts w:ascii="標楷體" w:eastAsia="標楷體" w:hAnsi="標楷體" w:hint="eastAsia"/>
          <w:kern w:val="0"/>
          <w:sz w:val="28"/>
          <w:szCs w:val="28"/>
        </w:rPr>
        <w:t>。</w:t>
      </w:r>
    </w:p>
    <w:p w:rsidR="00BF1738" w:rsidRPr="00686519" w:rsidRDefault="00BF1738" w:rsidP="005C5D21">
      <w:pPr>
        <w:spacing w:line="460" w:lineRule="exact"/>
        <w:ind w:leftChars="590" w:left="31680" w:hangingChars="203" w:firstLine="31680"/>
        <w:jc w:val="both"/>
        <w:rPr>
          <w:rFonts w:ascii="標楷體" w:eastAsia="標楷體" w:hAnsi="標楷體"/>
          <w:kern w:val="0"/>
          <w:sz w:val="28"/>
          <w:szCs w:val="28"/>
        </w:rPr>
      </w:pPr>
      <w:r w:rsidRPr="00686519">
        <w:rPr>
          <w:rFonts w:ascii="標楷體" w:eastAsia="標楷體" w:hAnsi="標楷體"/>
          <w:kern w:val="0"/>
          <w:sz w:val="28"/>
          <w:szCs w:val="28"/>
        </w:rPr>
        <w:t>(</w:t>
      </w:r>
      <w:r w:rsidRPr="00686519">
        <w:rPr>
          <w:rFonts w:ascii="標楷體" w:eastAsia="標楷體" w:hAnsi="標楷體" w:hint="eastAsia"/>
          <w:kern w:val="0"/>
          <w:sz w:val="28"/>
          <w:szCs w:val="28"/>
        </w:rPr>
        <w:t>二</w:t>
      </w:r>
      <w:r w:rsidRPr="00686519">
        <w:rPr>
          <w:rFonts w:ascii="標楷體" w:eastAsia="標楷體" w:hAnsi="標楷體"/>
          <w:kern w:val="0"/>
          <w:sz w:val="28"/>
          <w:szCs w:val="28"/>
        </w:rPr>
        <w:t>)</w:t>
      </w:r>
      <w:r w:rsidRPr="00686519">
        <w:rPr>
          <w:rFonts w:ascii="標楷體" w:eastAsia="標楷體" w:hAnsi="標楷體" w:hint="eastAsia"/>
          <w:kern w:val="0"/>
          <w:sz w:val="28"/>
          <w:szCs w:val="28"/>
        </w:rPr>
        <w:t>合併以後：以存續保險業之原提撥率等級核算；合併前之個別保險業，於合併後均消滅者，新設立之保險業以合併前個別保險業之提撥率等級較優者核算。</w:t>
      </w:r>
    </w:p>
    <w:p w:rsidR="00BF1738" w:rsidRPr="00B43298" w:rsidRDefault="00BF1738" w:rsidP="00B43298">
      <w:pPr>
        <w:numPr>
          <w:ilvl w:val="0"/>
          <w:numId w:val="1"/>
        </w:numPr>
        <w:tabs>
          <w:tab w:val="left" w:pos="1418"/>
        </w:tabs>
        <w:spacing w:line="460" w:lineRule="exact"/>
        <w:ind w:left="1418" w:hanging="567"/>
        <w:jc w:val="both"/>
        <w:rPr>
          <w:rFonts w:ascii="標楷體" w:eastAsia="標楷體" w:hAnsi="標楷體"/>
          <w:kern w:val="0"/>
          <w:sz w:val="28"/>
          <w:szCs w:val="28"/>
        </w:rPr>
      </w:pPr>
      <w:r w:rsidRPr="00686519">
        <w:rPr>
          <w:rFonts w:ascii="標楷體" w:eastAsia="標楷體" w:hAnsi="標楷體" w:hint="eastAsia"/>
          <w:kern w:val="0"/>
          <w:sz w:val="28"/>
          <w:szCs w:val="28"/>
        </w:rPr>
        <w:t>新設立保險業尚無風險指標者，其提撥率等級適用第三級。</w:t>
      </w:r>
    </w:p>
    <w:p w:rsidR="00BF1738" w:rsidRPr="00B43298" w:rsidRDefault="00BF1738" w:rsidP="00B43298">
      <w:pPr>
        <w:numPr>
          <w:ilvl w:val="0"/>
          <w:numId w:val="1"/>
        </w:numPr>
        <w:tabs>
          <w:tab w:val="left" w:pos="720"/>
        </w:tabs>
        <w:spacing w:line="460" w:lineRule="exact"/>
        <w:ind w:hanging="36"/>
        <w:jc w:val="both"/>
        <w:rPr>
          <w:rFonts w:ascii="標楷體" w:eastAsia="標楷體" w:hAnsi="標楷體"/>
          <w:kern w:val="0"/>
          <w:sz w:val="28"/>
          <w:szCs w:val="28"/>
        </w:rPr>
      </w:pPr>
      <w:r w:rsidRPr="00B43298">
        <w:rPr>
          <w:rFonts w:ascii="標楷體" w:eastAsia="標楷體" w:hAnsi="標楷體" w:hint="eastAsia"/>
          <w:kern w:val="0"/>
          <w:sz w:val="28"/>
          <w:szCs w:val="28"/>
        </w:rPr>
        <w:t>經本會依法監管及接管之保險業適用最高提撥率等級。</w:t>
      </w:r>
    </w:p>
    <w:p w:rsidR="00BF1738" w:rsidRPr="00B43298" w:rsidRDefault="00BF1738" w:rsidP="005C5D21">
      <w:pPr>
        <w:pStyle w:val="a"/>
        <w:tabs>
          <w:tab w:val="left" w:pos="717"/>
          <w:tab w:val="left" w:pos="792"/>
        </w:tabs>
        <w:spacing w:line="460" w:lineRule="exact"/>
        <w:ind w:left="31680" w:hangingChars="99" w:firstLine="31680"/>
        <w:jc w:val="left"/>
        <w:rPr>
          <w:rFonts w:hAnsi="標楷體"/>
          <w:kern w:val="0"/>
          <w:sz w:val="28"/>
          <w:szCs w:val="28"/>
        </w:rPr>
      </w:pPr>
      <w:r w:rsidRPr="00B43298">
        <w:rPr>
          <w:rFonts w:hAnsi="標楷體" w:hint="eastAsia"/>
          <w:kern w:val="0"/>
          <w:sz w:val="28"/>
          <w:szCs w:val="28"/>
        </w:rPr>
        <w:t>第五條</w:t>
      </w:r>
      <w:r>
        <w:rPr>
          <w:rFonts w:hAnsi="標楷體"/>
          <w:kern w:val="0"/>
          <w:sz w:val="28"/>
          <w:szCs w:val="28"/>
        </w:rPr>
        <w:t xml:space="preserve">    </w:t>
      </w:r>
      <w:r w:rsidRPr="00B43298">
        <w:rPr>
          <w:rFonts w:hAnsi="標楷體" w:hint="eastAsia"/>
          <w:kern w:val="0"/>
          <w:sz w:val="28"/>
          <w:szCs w:val="28"/>
        </w:rPr>
        <w:t>保險安定基金提撥率之資料保密及異議處理方式：</w:t>
      </w:r>
    </w:p>
    <w:p w:rsidR="00BF1738" w:rsidRPr="00B43298" w:rsidRDefault="00BF1738" w:rsidP="00B43298">
      <w:pPr>
        <w:pStyle w:val="a"/>
        <w:numPr>
          <w:ilvl w:val="0"/>
          <w:numId w:val="3"/>
        </w:numPr>
        <w:tabs>
          <w:tab w:val="left" w:pos="1418"/>
        </w:tabs>
        <w:spacing w:line="460" w:lineRule="exact"/>
        <w:ind w:left="1418" w:firstLineChars="0" w:hanging="567"/>
        <w:jc w:val="left"/>
        <w:rPr>
          <w:rFonts w:hAnsi="標楷體"/>
          <w:kern w:val="0"/>
          <w:sz w:val="28"/>
          <w:szCs w:val="28"/>
        </w:rPr>
      </w:pPr>
      <w:r w:rsidRPr="00B43298">
        <w:rPr>
          <w:rFonts w:hAnsi="標楷體" w:hint="eastAsia"/>
          <w:kern w:val="0"/>
          <w:sz w:val="28"/>
          <w:szCs w:val="28"/>
        </w:rPr>
        <w:t>保險業適用之提撥率，由財團法人保險安定基金個別函知，保險業不得將提供財團法人保險安定基金或財團法人保險安定基金核覆之風險指標及提撥率相關資料對外公布，違反此規定者，由財團法人保險安定基金報本會依保險法第一百四十九條第一項規定處罰。</w:t>
      </w:r>
    </w:p>
    <w:p w:rsidR="00BF1738" w:rsidRPr="00B43298" w:rsidRDefault="00BF1738" w:rsidP="00B43298">
      <w:pPr>
        <w:pStyle w:val="a"/>
        <w:numPr>
          <w:ilvl w:val="0"/>
          <w:numId w:val="3"/>
        </w:numPr>
        <w:tabs>
          <w:tab w:val="left" w:pos="717"/>
          <w:tab w:val="left" w:pos="792"/>
        </w:tabs>
        <w:spacing w:line="460" w:lineRule="exact"/>
        <w:ind w:left="1418" w:firstLineChars="0" w:hanging="567"/>
        <w:jc w:val="left"/>
        <w:rPr>
          <w:rFonts w:hAnsi="標楷體"/>
          <w:kern w:val="0"/>
          <w:sz w:val="28"/>
          <w:szCs w:val="28"/>
        </w:rPr>
      </w:pPr>
      <w:r w:rsidRPr="00B43298">
        <w:rPr>
          <w:rFonts w:hAnsi="標楷體" w:hint="eastAsia"/>
          <w:kern w:val="0"/>
          <w:sz w:val="28"/>
          <w:szCs w:val="28"/>
        </w:rPr>
        <w:t>保險業如對其適用之提撥率有異議時，仍應依規定期限先行繳納保險安定基金，並自接獲財團法人保險安定基金通知函起至各該計提期間第三個月底前</w:t>
      </w:r>
      <w:r w:rsidRPr="00B43298">
        <w:rPr>
          <w:rFonts w:hAnsi="標楷體"/>
          <w:kern w:val="0"/>
          <w:sz w:val="28"/>
          <w:szCs w:val="28"/>
        </w:rPr>
        <w:t>(</w:t>
      </w:r>
      <w:r w:rsidRPr="00B43298">
        <w:rPr>
          <w:rFonts w:hAnsi="標楷體" w:hint="eastAsia"/>
          <w:kern w:val="0"/>
          <w:sz w:val="28"/>
          <w:szCs w:val="28"/>
        </w:rPr>
        <w:t>即每年九月三十日前，以郵戳為憑</w:t>
      </w:r>
      <w:r w:rsidRPr="00B43298">
        <w:rPr>
          <w:rFonts w:hAnsi="標楷體"/>
          <w:kern w:val="0"/>
          <w:sz w:val="28"/>
          <w:szCs w:val="28"/>
        </w:rPr>
        <w:t>)</w:t>
      </w:r>
      <w:r w:rsidRPr="00B43298">
        <w:rPr>
          <w:rFonts w:hAnsi="標楷體" w:hint="eastAsia"/>
          <w:kern w:val="0"/>
          <w:sz w:val="28"/>
          <w:szCs w:val="28"/>
        </w:rPr>
        <w:t>，以書面方式向財團法人保險安定基金申請覆核，申請次數以一次為限。</w:t>
      </w:r>
    </w:p>
    <w:p w:rsidR="00BF1738" w:rsidRPr="00686519" w:rsidRDefault="00BF1738" w:rsidP="005C5D21">
      <w:pPr>
        <w:spacing w:line="460" w:lineRule="exact"/>
        <w:ind w:left="31680" w:hangingChars="116" w:firstLine="31680"/>
        <w:rPr>
          <w:rFonts w:ascii="標楷體" w:eastAsia="標楷體" w:hAnsi="標楷體"/>
          <w:kern w:val="0"/>
          <w:sz w:val="28"/>
          <w:szCs w:val="28"/>
        </w:rPr>
      </w:pPr>
      <w:r w:rsidRPr="00686519">
        <w:rPr>
          <w:rFonts w:ascii="標楷體" w:eastAsia="標楷體" w:hAnsi="標楷體" w:hint="eastAsia"/>
          <w:kern w:val="0"/>
          <w:sz w:val="28"/>
          <w:szCs w:val="28"/>
        </w:rPr>
        <w:t>第六條</w:t>
      </w:r>
      <w:r>
        <w:rPr>
          <w:rFonts w:ascii="標楷體" w:eastAsia="標楷體" w:hAnsi="標楷體"/>
          <w:kern w:val="0"/>
          <w:sz w:val="28"/>
          <w:szCs w:val="28"/>
        </w:rPr>
        <w:t xml:space="preserve">    </w:t>
      </w:r>
      <w:r w:rsidRPr="00686519">
        <w:rPr>
          <w:rFonts w:ascii="標楷體" w:eastAsia="標楷體" w:hAnsi="標楷體" w:hint="eastAsia"/>
          <w:kern w:val="0"/>
          <w:sz w:val="28"/>
          <w:szCs w:val="28"/>
        </w:rPr>
        <w:t>保險安定基金提撥率之</w:t>
      </w:r>
      <w:r>
        <w:rPr>
          <w:rFonts w:ascii="標楷體" w:eastAsia="標楷體" w:hAnsi="標楷體" w:hint="eastAsia"/>
          <w:kern w:val="0"/>
          <w:sz w:val="28"/>
          <w:szCs w:val="28"/>
        </w:rPr>
        <w:t>通知</w:t>
      </w:r>
      <w:r w:rsidRPr="00686519">
        <w:rPr>
          <w:rFonts w:ascii="標楷體" w:eastAsia="標楷體" w:hAnsi="標楷體" w:hint="eastAsia"/>
          <w:kern w:val="0"/>
          <w:sz w:val="28"/>
          <w:szCs w:val="28"/>
        </w:rPr>
        <w:t>及繳納方式：</w:t>
      </w:r>
    </w:p>
    <w:p w:rsidR="00BF1738" w:rsidRPr="00686519" w:rsidRDefault="00BF1738" w:rsidP="005C5D21">
      <w:pPr>
        <w:numPr>
          <w:ilvl w:val="0"/>
          <w:numId w:val="5"/>
        </w:numPr>
        <w:tabs>
          <w:tab w:val="left" w:pos="743"/>
        </w:tabs>
        <w:spacing w:line="460" w:lineRule="exact"/>
        <w:ind w:leftChars="354" w:left="31680" w:hangingChars="202" w:firstLine="31680"/>
        <w:rPr>
          <w:rFonts w:ascii="標楷體" w:eastAsia="標楷體" w:hAnsi="標楷體"/>
          <w:kern w:val="0"/>
          <w:sz w:val="28"/>
          <w:szCs w:val="28"/>
        </w:rPr>
      </w:pPr>
      <w:r w:rsidRPr="00686519">
        <w:rPr>
          <w:rFonts w:ascii="標楷體" w:eastAsia="標楷體" w:hAnsi="標楷體" w:hint="eastAsia"/>
          <w:kern w:val="0"/>
          <w:sz w:val="28"/>
          <w:szCs w:val="28"/>
        </w:rPr>
        <w:t>財團法人保險安定基金應於每年七月三十一日前通知各保險業各該年七月份至次年六月份應適用之提撥率等級之審查結果，各保險業應依通知適用之提撥率等級，按月計算各該年</w:t>
      </w:r>
      <w:smartTag w:uri="urn:schemas-microsoft-com:office:smarttags" w:element="chsdate">
        <w:smartTagPr>
          <w:attr w:name="Year" w:val="2014"/>
          <w:attr w:name="Month" w:val="7"/>
          <w:attr w:name="Day" w:val="1"/>
          <w:attr w:name="IsLunarDate" w:val="False"/>
          <w:attr w:name="IsROCDate" w:val="False"/>
        </w:smartTagPr>
        <w:r w:rsidRPr="00686519">
          <w:rPr>
            <w:rFonts w:ascii="標楷體" w:eastAsia="標楷體" w:hAnsi="標楷體" w:hint="eastAsia"/>
            <w:kern w:val="0"/>
            <w:sz w:val="28"/>
            <w:szCs w:val="28"/>
          </w:rPr>
          <w:t>七月一日</w:t>
        </w:r>
      </w:smartTag>
      <w:r w:rsidRPr="00686519">
        <w:rPr>
          <w:rFonts w:ascii="標楷體" w:eastAsia="標楷體" w:hAnsi="標楷體" w:hint="eastAsia"/>
          <w:kern w:val="0"/>
          <w:sz w:val="28"/>
          <w:szCs w:val="28"/>
        </w:rPr>
        <w:t>至次年</w:t>
      </w:r>
      <w:smartTag w:uri="urn:schemas-microsoft-com:office:smarttags" w:element="chsdate">
        <w:smartTagPr>
          <w:attr w:name="Year" w:val="2014"/>
          <w:attr w:name="Month" w:val="6"/>
          <w:attr w:name="Day" w:val="30"/>
          <w:attr w:name="IsLunarDate" w:val="False"/>
          <w:attr w:name="IsROCDate" w:val="False"/>
        </w:smartTagPr>
        <w:r w:rsidRPr="00686519">
          <w:rPr>
            <w:rFonts w:ascii="標楷體" w:eastAsia="標楷體" w:hAnsi="標楷體" w:hint="eastAsia"/>
            <w:kern w:val="0"/>
            <w:sz w:val="28"/>
            <w:szCs w:val="28"/>
          </w:rPr>
          <w:t>六月三十日</w:t>
        </w:r>
      </w:smartTag>
      <w:r w:rsidRPr="00686519">
        <w:rPr>
          <w:rFonts w:ascii="標楷體" w:eastAsia="標楷體" w:hAnsi="標楷體" w:hint="eastAsia"/>
          <w:kern w:val="0"/>
          <w:sz w:val="28"/>
          <w:szCs w:val="28"/>
        </w:rPr>
        <w:t>應繳納之保險安定基金，並應於次月底前向財團法人保險安定基金繳納。</w:t>
      </w:r>
    </w:p>
    <w:p w:rsidR="00BF1738" w:rsidRPr="00686519" w:rsidRDefault="00BF1738" w:rsidP="00B43298">
      <w:pPr>
        <w:numPr>
          <w:ilvl w:val="0"/>
          <w:numId w:val="5"/>
        </w:numPr>
        <w:tabs>
          <w:tab w:val="left" w:pos="1418"/>
        </w:tabs>
        <w:spacing w:line="460" w:lineRule="exact"/>
        <w:ind w:left="1418" w:hanging="567"/>
        <w:rPr>
          <w:rFonts w:ascii="標楷體" w:eastAsia="標楷體" w:hAnsi="標楷體"/>
          <w:kern w:val="0"/>
          <w:sz w:val="28"/>
          <w:szCs w:val="28"/>
        </w:rPr>
      </w:pPr>
      <w:r w:rsidRPr="00686519">
        <w:rPr>
          <w:rFonts w:ascii="標楷體" w:eastAsia="標楷體" w:hAnsi="標楷體" w:hint="eastAsia"/>
          <w:kern w:val="0"/>
          <w:sz w:val="28"/>
          <w:szCs w:val="28"/>
        </w:rPr>
        <w:t>保險業繳納之保險安定基金與應繳納金額不符者，應依下列方式處理：</w:t>
      </w:r>
    </w:p>
    <w:p w:rsidR="00BF1738" w:rsidRPr="00686519" w:rsidRDefault="00BF1738" w:rsidP="005C5D21">
      <w:pPr>
        <w:numPr>
          <w:ilvl w:val="0"/>
          <w:numId w:val="4"/>
        </w:numPr>
        <w:tabs>
          <w:tab w:val="left" w:pos="1985"/>
        </w:tabs>
        <w:spacing w:line="460" w:lineRule="exact"/>
        <w:ind w:leftChars="589" w:left="31680" w:hangingChars="204" w:firstLine="31680"/>
        <w:rPr>
          <w:rFonts w:ascii="標楷體" w:eastAsia="標楷體" w:hAnsi="標楷體"/>
          <w:kern w:val="0"/>
          <w:sz w:val="28"/>
          <w:szCs w:val="28"/>
        </w:rPr>
      </w:pPr>
      <w:r w:rsidRPr="00686519">
        <w:rPr>
          <w:rFonts w:ascii="標楷體" w:eastAsia="標楷體" w:hAnsi="標楷體" w:hint="eastAsia"/>
          <w:kern w:val="0"/>
          <w:sz w:val="28"/>
          <w:szCs w:val="28"/>
        </w:rPr>
        <w:t>溢繳者，財團法人保險安定基金得不辦理退還，逕行留抵次月份應繳納之保險安定基金。</w:t>
      </w:r>
    </w:p>
    <w:p w:rsidR="00BF1738" w:rsidRPr="00B43298" w:rsidRDefault="00BF1738" w:rsidP="005C5D21">
      <w:pPr>
        <w:numPr>
          <w:ilvl w:val="0"/>
          <w:numId w:val="4"/>
        </w:numPr>
        <w:tabs>
          <w:tab w:val="left" w:pos="1291"/>
          <w:tab w:val="left" w:pos="1985"/>
        </w:tabs>
        <w:spacing w:line="460" w:lineRule="exact"/>
        <w:ind w:leftChars="590" w:left="31680" w:hangingChars="203" w:firstLine="31680"/>
        <w:rPr>
          <w:rFonts w:ascii="標楷體" w:eastAsia="標楷體" w:hAnsi="標楷體"/>
          <w:kern w:val="0"/>
          <w:sz w:val="28"/>
          <w:szCs w:val="28"/>
        </w:rPr>
      </w:pPr>
      <w:r w:rsidRPr="00686519">
        <w:rPr>
          <w:rFonts w:ascii="標楷體" w:eastAsia="標楷體" w:hAnsi="標楷體" w:hint="eastAsia"/>
          <w:kern w:val="0"/>
          <w:sz w:val="28"/>
          <w:szCs w:val="28"/>
        </w:rPr>
        <w:t>短繳或未依規定期限繳納者，財團法人保險安定基金應以書面通知，並得報本會依保險法第一百六十</w:t>
      </w:r>
      <w:r w:rsidRPr="00B43298">
        <w:rPr>
          <w:rFonts w:ascii="標楷體" w:eastAsia="標楷體" w:hAnsi="標楷體" w:hint="eastAsia"/>
          <w:kern w:val="0"/>
          <w:sz w:val="28"/>
          <w:szCs w:val="28"/>
        </w:rPr>
        <w:t>九條之二規定核處。</w:t>
      </w:r>
    </w:p>
    <w:p w:rsidR="00BF1738" w:rsidRPr="00686519" w:rsidRDefault="00BF1738" w:rsidP="005C5D21">
      <w:pPr>
        <w:spacing w:line="460" w:lineRule="exact"/>
        <w:ind w:left="31680" w:hangingChars="303" w:firstLine="31680"/>
        <w:jc w:val="both"/>
        <w:rPr>
          <w:rFonts w:ascii="標楷體" w:eastAsia="標楷體" w:hAnsi="標楷體"/>
          <w:kern w:val="0"/>
          <w:sz w:val="28"/>
          <w:szCs w:val="28"/>
        </w:rPr>
      </w:pPr>
      <w:r w:rsidRPr="00686519">
        <w:rPr>
          <w:rFonts w:ascii="標楷體" w:eastAsia="標楷體" w:hAnsi="標楷體" w:hint="eastAsia"/>
          <w:kern w:val="0"/>
          <w:sz w:val="28"/>
          <w:szCs w:val="28"/>
        </w:rPr>
        <w:t>第七條</w:t>
      </w:r>
      <w:r>
        <w:rPr>
          <w:rFonts w:ascii="標楷體" w:eastAsia="標楷體" w:hAnsi="標楷體"/>
          <w:kern w:val="0"/>
          <w:sz w:val="28"/>
          <w:szCs w:val="28"/>
        </w:rPr>
        <w:t xml:space="preserve">    </w:t>
      </w:r>
      <w:r w:rsidRPr="00686519">
        <w:rPr>
          <w:rFonts w:ascii="標楷體" w:eastAsia="標楷體" w:hAnsi="標楷體" w:hint="eastAsia"/>
          <w:kern w:val="0"/>
          <w:sz w:val="28"/>
          <w:szCs w:val="28"/>
        </w:rPr>
        <w:t>本標準實施所需填報之表格，由財團法人保險安定基金擬訂，報本會核定。</w:t>
      </w:r>
    </w:p>
    <w:p w:rsidR="00BF1738" w:rsidRPr="00531205" w:rsidRDefault="00BF1738" w:rsidP="00DE15BA">
      <w:pPr>
        <w:spacing w:line="460" w:lineRule="exact"/>
        <w:rPr>
          <w:rFonts w:ascii="標楷體" w:eastAsia="標楷體" w:hAnsi="標楷體"/>
          <w:kern w:val="0"/>
          <w:sz w:val="28"/>
          <w:szCs w:val="28"/>
        </w:rPr>
      </w:pPr>
      <w:r w:rsidRPr="00B43298">
        <w:rPr>
          <w:rFonts w:ascii="標楷體" w:eastAsia="標楷體" w:hAnsi="標楷體" w:hint="eastAsia"/>
          <w:kern w:val="0"/>
          <w:sz w:val="28"/>
          <w:szCs w:val="28"/>
        </w:rPr>
        <w:t>第八條</w:t>
      </w:r>
      <w:r w:rsidRPr="00B43298">
        <w:rPr>
          <w:rFonts w:ascii="標楷體" w:eastAsia="標楷體" w:hAnsi="標楷體"/>
          <w:kern w:val="0"/>
          <w:sz w:val="28"/>
          <w:szCs w:val="28"/>
        </w:rPr>
        <w:t xml:space="preserve">  </w:t>
      </w:r>
      <w:r>
        <w:rPr>
          <w:rFonts w:ascii="標楷體" w:eastAsia="標楷體" w:hAnsi="標楷體"/>
          <w:kern w:val="0"/>
          <w:sz w:val="28"/>
          <w:szCs w:val="28"/>
        </w:rPr>
        <w:t xml:space="preserve">  </w:t>
      </w:r>
      <w:r w:rsidRPr="00B43298">
        <w:rPr>
          <w:rFonts w:ascii="標楷體" w:eastAsia="標楷體" w:hAnsi="標楷體" w:hint="eastAsia"/>
          <w:kern w:val="0"/>
          <w:sz w:val="28"/>
          <w:szCs w:val="28"/>
        </w:rPr>
        <w:t>本標準自發布日施行。</w:t>
      </w:r>
    </w:p>
    <w:sectPr w:rsidR="00BF1738" w:rsidRPr="00531205" w:rsidSect="00EF44A0">
      <w:headerReference w:type="default" r:id="rId7"/>
      <w:foot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1738" w:rsidRDefault="00BF1738" w:rsidP="00686519">
      <w:r>
        <w:separator/>
      </w:r>
    </w:p>
  </w:endnote>
  <w:endnote w:type="continuationSeparator" w:id="0">
    <w:p w:rsidR="00BF1738" w:rsidRDefault="00BF1738" w:rsidP="006865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738" w:rsidRDefault="00BF1738">
    <w:pPr>
      <w:pStyle w:val="Footer"/>
      <w:jc w:val="center"/>
    </w:pPr>
    <w:r>
      <w:fldChar w:fldCharType="begin"/>
    </w:r>
    <w:r>
      <w:instrText>PAGE   \* MERGEFORMAT</w:instrText>
    </w:r>
    <w:r>
      <w:fldChar w:fldCharType="separate"/>
    </w:r>
    <w:r w:rsidRPr="005C5D21">
      <w:rPr>
        <w:noProof/>
        <w:lang w:val="zh-TW"/>
      </w:rPr>
      <w:t>4</w:t>
    </w:r>
    <w:r>
      <w:fldChar w:fldCharType="end"/>
    </w:r>
  </w:p>
  <w:p w:rsidR="00BF1738" w:rsidRDefault="00BF17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1738" w:rsidRDefault="00BF1738" w:rsidP="00686519">
      <w:r>
        <w:separator/>
      </w:r>
    </w:p>
  </w:footnote>
  <w:footnote w:type="continuationSeparator" w:id="0">
    <w:p w:rsidR="00BF1738" w:rsidRDefault="00BF1738" w:rsidP="006865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738" w:rsidRDefault="00BF1738">
    <w:pPr>
      <w:pStyle w:val="Header"/>
      <w:jc w:val="center"/>
    </w:pPr>
  </w:p>
  <w:p w:rsidR="00BF1738" w:rsidRDefault="00BF17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8014A"/>
    <w:multiLevelType w:val="hybridMultilevel"/>
    <w:tmpl w:val="3EEA03F4"/>
    <w:lvl w:ilvl="0" w:tplc="1C5A15D2">
      <w:start w:val="1"/>
      <w:numFmt w:val="taiwaneseCountingThousand"/>
      <w:lvlText w:val="%1、"/>
      <w:lvlJc w:val="left"/>
      <w:pPr>
        <w:ind w:left="884" w:hanging="570"/>
      </w:pPr>
      <w:rPr>
        <w:rFonts w:cs="Times New Roman" w:hint="default"/>
      </w:rPr>
    </w:lvl>
    <w:lvl w:ilvl="1" w:tplc="04090019" w:tentative="1">
      <w:start w:val="1"/>
      <w:numFmt w:val="ideographTraditional"/>
      <w:lvlText w:val="%2、"/>
      <w:lvlJc w:val="left"/>
      <w:pPr>
        <w:ind w:left="1274" w:hanging="480"/>
      </w:pPr>
      <w:rPr>
        <w:rFonts w:cs="Times New Roman"/>
      </w:rPr>
    </w:lvl>
    <w:lvl w:ilvl="2" w:tplc="0409001B" w:tentative="1">
      <w:start w:val="1"/>
      <w:numFmt w:val="lowerRoman"/>
      <w:lvlText w:val="%3."/>
      <w:lvlJc w:val="right"/>
      <w:pPr>
        <w:ind w:left="1754" w:hanging="480"/>
      </w:pPr>
      <w:rPr>
        <w:rFonts w:cs="Times New Roman"/>
      </w:rPr>
    </w:lvl>
    <w:lvl w:ilvl="3" w:tplc="0409000F" w:tentative="1">
      <w:start w:val="1"/>
      <w:numFmt w:val="decimal"/>
      <w:lvlText w:val="%4."/>
      <w:lvlJc w:val="left"/>
      <w:pPr>
        <w:ind w:left="2234" w:hanging="480"/>
      </w:pPr>
      <w:rPr>
        <w:rFonts w:cs="Times New Roman"/>
      </w:rPr>
    </w:lvl>
    <w:lvl w:ilvl="4" w:tplc="04090019" w:tentative="1">
      <w:start w:val="1"/>
      <w:numFmt w:val="ideographTraditional"/>
      <w:lvlText w:val="%5、"/>
      <w:lvlJc w:val="left"/>
      <w:pPr>
        <w:ind w:left="2714" w:hanging="480"/>
      </w:pPr>
      <w:rPr>
        <w:rFonts w:cs="Times New Roman"/>
      </w:rPr>
    </w:lvl>
    <w:lvl w:ilvl="5" w:tplc="0409001B" w:tentative="1">
      <w:start w:val="1"/>
      <w:numFmt w:val="lowerRoman"/>
      <w:lvlText w:val="%6."/>
      <w:lvlJc w:val="right"/>
      <w:pPr>
        <w:ind w:left="3194" w:hanging="480"/>
      </w:pPr>
      <w:rPr>
        <w:rFonts w:cs="Times New Roman"/>
      </w:rPr>
    </w:lvl>
    <w:lvl w:ilvl="6" w:tplc="0409000F" w:tentative="1">
      <w:start w:val="1"/>
      <w:numFmt w:val="decimal"/>
      <w:lvlText w:val="%7."/>
      <w:lvlJc w:val="left"/>
      <w:pPr>
        <w:ind w:left="3674" w:hanging="480"/>
      </w:pPr>
      <w:rPr>
        <w:rFonts w:cs="Times New Roman"/>
      </w:rPr>
    </w:lvl>
    <w:lvl w:ilvl="7" w:tplc="04090019" w:tentative="1">
      <w:start w:val="1"/>
      <w:numFmt w:val="ideographTraditional"/>
      <w:lvlText w:val="%8、"/>
      <w:lvlJc w:val="left"/>
      <w:pPr>
        <w:ind w:left="4154" w:hanging="480"/>
      </w:pPr>
      <w:rPr>
        <w:rFonts w:cs="Times New Roman"/>
      </w:rPr>
    </w:lvl>
    <w:lvl w:ilvl="8" w:tplc="0409001B" w:tentative="1">
      <w:start w:val="1"/>
      <w:numFmt w:val="lowerRoman"/>
      <w:lvlText w:val="%9."/>
      <w:lvlJc w:val="right"/>
      <w:pPr>
        <w:ind w:left="4634" w:hanging="480"/>
      </w:pPr>
      <w:rPr>
        <w:rFonts w:cs="Times New Roman"/>
      </w:rPr>
    </w:lvl>
  </w:abstractNum>
  <w:abstractNum w:abstractNumId="1">
    <w:nsid w:val="2A525235"/>
    <w:multiLevelType w:val="hybridMultilevel"/>
    <w:tmpl w:val="3CF4CD8A"/>
    <w:lvl w:ilvl="0" w:tplc="6944BAD6">
      <w:start w:val="1"/>
      <w:numFmt w:val="taiwaneseCountingThousand"/>
      <w:lvlText w:val="(%1)"/>
      <w:lvlJc w:val="left"/>
      <w:pPr>
        <w:ind w:left="1222" w:hanging="480"/>
      </w:pPr>
      <w:rPr>
        <w:rFonts w:cs="Times New Roman" w:hint="default"/>
      </w:rPr>
    </w:lvl>
    <w:lvl w:ilvl="1" w:tplc="04090019" w:tentative="1">
      <w:start w:val="1"/>
      <w:numFmt w:val="ideographTraditional"/>
      <w:lvlText w:val="%2、"/>
      <w:lvlJc w:val="left"/>
      <w:pPr>
        <w:ind w:left="1702" w:hanging="480"/>
      </w:pPr>
      <w:rPr>
        <w:rFonts w:cs="Times New Roman"/>
      </w:rPr>
    </w:lvl>
    <w:lvl w:ilvl="2" w:tplc="0409001B" w:tentative="1">
      <w:start w:val="1"/>
      <w:numFmt w:val="lowerRoman"/>
      <w:lvlText w:val="%3."/>
      <w:lvlJc w:val="right"/>
      <w:pPr>
        <w:ind w:left="2182" w:hanging="480"/>
      </w:pPr>
      <w:rPr>
        <w:rFonts w:cs="Times New Roman"/>
      </w:rPr>
    </w:lvl>
    <w:lvl w:ilvl="3" w:tplc="0409000F" w:tentative="1">
      <w:start w:val="1"/>
      <w:numFmt w:val="decimal"/>
      <w:lvlText w:val="%4."/>
      <w:lvlJc w:val="left"/>
      <w:pPr>
        <w:ind w:left="2662" w:hanging="480"/>
      </w:pPr>
      <w:rPr>
        <w:rFonts w:cs="Times New Roman"/>
      </w:rPr>
    </w:lvl>
    <w:lvl w:ilvl="4" w:tplc="04090019" w:tentative="1">
      <w:start w:val="1"/>
      <w:numFmt w:val="ideographTraditional"/>
      <w:lvlText w:val="%5、"/>
      <w:lvlJc w:val="left"/>
      <w:pPr>
        <w:ind w:left="3142" w:hanging="480"/>
      </w:pPr>
      <w:rPr>
        <w:rFonts w:cs="Times New Roman"/>
      </w:rPr>
    </w:lvl>
    <w:lvl w:ilvl="5" w:tplc="0409001B" w:tentative="1">
      <w:start w:val="1"/>
      <w:numFmt w:val="lowerRoman"/>
      <w:lvlText w:val="%6."/>
      <w:lvlJc w:val="right"/>
      <w:pPr>
        <w:ind w:left="3622" w:hanging="480"/>
      </w:pPr>
      <w:rPr>
        <w:rFonts w:cs="Times New Roman"/>
      </w:rPr>
    </w:lvl>
    <w:lvl w:ilvl="6" w:tplc="0409000F" w:tentative="1">
      <w:start w:val="1"/>
      <w:numFmt w:val="decimal"/>
      <w:lvlText w:val="%7."/>
      <w:lvlJc w:val="left"/>
      <w:pPr>
        <w:ind w:left="4102" w:hanging="480"/>
      </w:pPr>
      <w:rPr>
        <w:rFonts w:cs="Times New Roman"/>
      </w:rPr>
    </w:lvl>
    <w:lvl w:ilvl="7" w:tplc="04090019" w:tentative="1">
      <w:start w:val="1"/>
      <w:numFmt w:val="ideographTraditional"/>
      <w:lvlText w:val="%8、"/>
      <w:lvlJc w:val="left"/>
      <w:pPr>
        <w:ind w:left="4582" w:hanging="480"/>
      </w:pPr>
      <w:rPr>
        <w:rFonts w:cs="Times New Roman"/>
      </w:rPr>
    </w:lvl>
    <w:lvl w:ilvl="8" w:tplc="0409001B" w:tentative="1">
      <w:start w:val="1"/>
      <w:numFmt w:val="lowerRoman"/>
      <w:lvlText w:val="%9."/>
      <w:lvlJc w:val="right"/>
      <w:pPr>
        <w:ind w:left="5062" w:hanging="480"/>
      </w:pPr>
      <w:rPr>
        <w:rFonts w:cs="Times New Roman"/>
      </w:rPr>
    </w:lvl>
  </w:abstractNum>
  <w:abstractNum w:abstractNumId="2">
    <w:nsid w:val="37D34DA7"/>
    <w:multiLevelType w:val="hybridMultilevel"/>
    <w:tmpl w:val="CD2CA2D6"/>
    <w:lvl w:ilvl="0" w:tplc="737E39F2">
      <w:start w:val="1"/>
      <w:numFmt w:val="taiwaneseCountingThousand"/>
      <w:lvlText w:val="%1、"/>
      <w:lvlJc w:val="left"/>
      <w:pPr>
        <w:ind w:left="690" w:hanging="450"/>
      </w:pPr>
      <w:rPr>
        <w:rFonts w:cs="Times New Roman" w:hint="default"/>
        <w:u w:val="none"/>
      </w:rPr>
    </w:lvl>
    <w:lvl w:ilvl="1" w:tplc="04090019" w:tentative="1">
      <w:start w:val="1"/>
      <w:numFmt w:val="ideographTraditional"/>
      <w:lvlText w:val="%2、"/>
      <w:lvlJc w:val="left"/>
      <w:pPr>
        <w:ind w:left="1200" w:hanging="480"/>
      </w:pPr>
      <w:rPr>
        <w:rFonts w:cs="Times New Roman"/>
      </w:rPr>
    </w:lvl>
    <w:lvl w:ilvl="2" w:tplc="0409001B" w:tentative="1">
      <w:start w:val="1"/>
      <w:numFmt w:val="lowerRoman"/>
      <w:lvlText w:val="%3."/>
      <w:lvlJc w:val="right"/>
      <w:pPr>
        <w:ind w:left="1680" w:hanging="480"/>
      </w:pPr>
      <w:rPr>
        <w:rFonts w:cs="Times New Roman"/>
      </w:rPr>
    </w:lvl>
    <w:lvl w:ilvl="3" w:tplc="0409000F" w:tentative="1">
      <w:start w:val="1"/>
      <w:numFmt w:val="decimal"/>
      <w:lvlText w:val="%4."/>
      <w:lvlJc w:val="left"/>
      <w:pPr>
        <w:ind w:left="2160" w:hanging="480"/>
      </w:pPr>
      <w:rPr>
        <w:rFonts w:cs="Times New Roman"/>
      </w:rPr>
    </w:lvl>
    <w:lvl w:ilvl="4" w:tplc="04090019" w:tentative="1">
      <w:start w:val="1"/>
      <w:numFmt w:val="ideographTraditional"/>
      <w:lvlText w:val="%5、"/>
      <w:lvlJc w:val="left"/>
      <w:pPr>
        <w:ind w:left="2640" w:hanging="480"/>
      </w:pPr>
      <w:rPr>
        <w:rFonts w:cs="Times New Roman"/>
      </w:rPr>
    </w:lvl>
    <w:lvl w:ilvl="5" w:tplc="0409001B" w:tentative="1">
      <w:start w:val="1"/>
      <w:numFmt w:val="lowerRoman"/>
      <w:lvlText w:val="%6."/>
      <w:lvlJc w:val="right"/>
      <w:pPr>
        <w:ind w:left="3120" w:hanging="480"/>
      </w:pPr>
      <w:rPr>
        <w:rFonts w:cs="Times New Roman"/>
      </w:rPr>
    </w:lvl>
    <w:lvl w:ilvl="6" w:tplc="0409000F" w:tentative="1">
      <w:start w:val="1"/>
      <w:numFmt w:val="decimal"/>
      <w:lvlText w:val="%7."/>
      <w:lvlJc w:val="left"/>
      <w:pPr>
        <w:ind w:left="3600" w:hanging="480"/>
      </w:pPr>
      <w:rPr>
        <w:rFonts w:cs="Times New Roman"/>
      </w:rPr>
    </w:lvl>
    <w:lvl w:ilvl="7" w:tplc="04090019" w:tentative="1">
      <w:start w:val="1"/>
      <w:numFmt w:val="ideographTraditional"/>
      <w:lvlText w:val="%8、"/>
      <w:lvlJc w:val="left"/>
      <w:pPr>
        <w:ind w:left="4080" w:hanging="480"/>
      </w:pPr>
      <w:rPr>
        <w:rFonts w:cs="Times New Roman"/>
      </w:rPr>
    </w:lvl>
    <w:lvl w:ilvl="8" w:tplc="0409001B" w:tentative="1">
      <w:start w:val="1"/>
      <w:numFmt w:val="lowerRoman"/>
      <w:lvlText w:val="%9."/>
      <w:lvlJc w:val="right"/>
      <w:pPr>
        <w:ind w:left="4560" w:hanging="480"/>
      </w:pPr>
      <w:rPr>
        <w:rFonts w:cs="Times New Roman"/>
      </w:rPr>
    </w:lvl>
  </w:abstractNum>
  <w:abstractNum w:abstractNumId="3">
    <w:nsid w:val="4177462A"/>
    <w:multiLevelType w:val="hybridMultilevel"/>
    <w:tmpl w:val="0B7835AC"/>
    <w:lvl w:ilvl="0" w:tplc="61F6B6EA">
      <w:start w:val="1"/>
      <w:numFmt w:val="taiwaneseCountingThousand"/>
      <w:lvlText w:val="%1、"/>
      <w:lvlJc w:val="left"/>
      <w:pPr>
        <w:ind w:left="887" w:hanging="570"/>
      </w:pPr>
      <w:rPr>
        <w:rFonts w:cs="Times New Roman" w:hint="default"/>
        <w:b w:val="0"/>
      </w:rPr>
    </w:lvl>
    <w:lvl w:ilvl="1" w:tplc="04090019" w:tentative="1">
      <w:start w:val="1"/>
      <w:numFmt w:val="ideographTraditional"/>
      <w:lvlText w:val="%2、"/>
      <w:lvlJc w:val="left"/>
      <w:pPr>
        <w:ind w:left="1277" w:hanging="480"/>
      </w:pPr>
      <w:rPr>
        <w:rFonts w:cs="Times New Roman"/>
      </w:rPr>
    </w:lvl>
    <w:lvl w:ilvl="2" w:tplc="0409001B" w:tentative="1">
      <w:start w:val="1"/>
      <w:numFmt w:val="lowerRoman"/>
      <w:lvlText w:val="%3."/>
      <w:lvlJc w:val="right"/>
      <w:pPr>
        <w:ind w:left="1757" w:hanging="480"/>
      </w:pPr>
      <w:rPr>
        <w:rFonts w:cs="Times New Roman"/>
      </w:rPr>
    </w:lvl>
    <w:lvl w:ilvl="3" w:tplc="0409000F" w:tentative="1">
      <w:start w:val="1"/>
      <w:numFmt w:val="decimal"/>
      <w:lvlText w:val="%4."/>
      <w:lvlJc w:val="left"/>
      <w:pPr>
        <w:ind w:left="2237" w:hanging="480"/>
      </w:pPr>
      <w:rPr>
        <w:rFonts w:cs="Times New Roman"/>
      </w:rPr>
    </w:lvl>
    <w:lvl w:ilvl="4" w:tplc="04090019" w:tentative="1">
      <w:start w:val="1"/>
      <w:numFmt w:val="ideographTraditional"/>
      <w:lvlText w:val="%5、"/>
      <w:lvlJc w:val="left"/>
      <w:pPr>
        <w:ind w:left="2717" w:hanging="480"/>
      </w:pPr>
      <w:rPr>
        <w:rFonts w:cs="Times New Roman"/>
      </w:rPr>
    </w:lvl>
    <w:lvl w:ilvl="5" w:tplc="0409001B" w:tentative="1">
      <w:start w:val="1"/>
      <w:numFmt w:val="lowerRoman"/>
      <w:lvlText w:val="%6."/>
      <w:lvlJc w:val="right"/>
      <w:pPr>
        <w:ind w:left="3197" w:hanging="480"/>
      </w:pPr>
      <w:rPr>
        <w:rFonts w:cs="Times New Roman"/>
      </w:rPr>
    </w:lvl>
    <w:lvl w:ilvl="6" w:tplc="0409000F" w:tentative="1">
      <w:start w:val="1"/>
      <w:numFmt w:val="decimal"/>
      <w:lvlText w:val="%7."/>
      <w:lvlJc w:val="left"/>
      <w:pPr>
        <w:ind w:left="3677" w:hanging="480"/>
      </w:pPr>
      <w:rPr>
        <w:rFonts w:cs="Times New Roman"/>
      </w:rPr>
    </w:lvl>
    <w:lvl w:ilvl="7" w:tplc="04090019" w:tentative="1">
      <w:start w:val="1"/>
      <w:numFmt w:val="ideographTraditional"/>
      <w:lvlText w:val="%8、"/>
      <w:lvlJc w:val="left"/>
      <w:pPr>
        <w:ind w:left="4157" w:hanging="480"/>
      </w:pPr>
      <w:rPr>
        <w:rFonts w:cs="Times New Roman"/>
      </w:rPr>
    </w:lvl>
    <w:lvl w:ilvl="8" w:tplc="0409001B" w:tentative="1">
      <w:start w:val="1"/>
      <w:numFmt w:val="lowerRoman"/>
      <w:lvlText w:val="%9."/>
      <w:lvlJc w:val="right"/>
      <w:pPr>
        <w:ind w:left="4637" w:hanging="480"/>
      </w:pPr>
      <w:rPr>
        <w:rFonts w:cs="Times New Roman"/>
      </w:rPr>
    </w:lvl>
  </w:abstractNum>
  <w:abstractNum w:abstractNumId="4">
    <w:nsid w:val="47152604"/>
    <w:multiLevelType w:val="hybridMultilevel"/>
    <w:tmpl w:val="2962181E"/>
    <w:lvl w:ilvl="0" w:tplc="14E6312A">
      <w:start w:val="1"/>
      <w:numFmt w:val="taiwaneseCountingThousand"/>
      <w:lvlText w:val="(%1)"/>
      <w:lvlJc w:val="left"/>
      <w:pPr>
        <w:ind w:left="96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A67CA"/>
    <w:rsid w:val="0009202D"/>
    <w:rsid w:val="002069AD"/>
    <w:rsid w:val="00326638"/>
    <w:rsid w:val="00531205"/>
    <w:rsid w:val="00537C01"/>
    <w:rsid w:val="00557498"/>
    <w:rsid w:val="005C5D21"/>
    <w:rsid w:val="005E4032"/>
    <w:rsid w:val="00686519"/>
    <w:rsid w:val="00711AF7"/>
    <w:rsid w:val="0077630E"/>
    <w:rsid w:val="00B43298"/>
    <w:rsid w:val="00BF1738"/>
    <w:rsid w:val="00C27356"/>
    <w:rsid w:val="00CA67CA"/>
    <w:rsid w:val="00DE0D3B"/>
    <w:rsid w:val="00DE15BA"/>
    <w:rsid w:val="00EF44A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86519"/>
    <w:pPr>
      <w:tabs>
        <w:tab w:val="center" w:pos="4153"/>
        <w:tab w:val="right" w:pos="8306"/>
      </w:tabs>
      <w:snapToGrid w:val="0"/>
    </w:pPr>
    <w:rPr>
      <w:sz w:val="20"/>
      <w:szCs w:val="20"/>
    </w:rPr>
  </w:style>
  <w:style w:type="character" w:customStyle="1" w:styleId="HeaderChar">
    <w:name w:val="Header Char"/>
    <w:basedOn w:val="DefaultParagraphFont"/>
    <w:link w:val="Header"/>
    <w:uiPriority w:val="99"/>
    <w:locked/>
    <w:rsid w:val="00686519"/>
    <w:rPr>
      <w:sz w:val="20"/>
    </w:rPr>
  </w:style>
  <w:style w:type="paragraph" w:styleId="Footer">
    <w:name w:val="footer"/>
    <w:basedOn w:val="Normal"/>
    <w:link w:val="FooterChar"/>
    <w:uiPriority w:val="99"/>
    <w:rsid w:val="00686519"/>
    <w:pPr>
      <w:tabs>
        <w:tab w:val="center" w:pos="4153"/>
        <w:tab w:val="right" w:pos="8306"/>
      </w:tabs>
      <w:snapToGrid w:val="0"/>
    </w:pPr>
    <w:rPr>
      <w:sz w:val="20"/>
      <w:szCs w:val="20"/>
    </w:rPr>
  </w:style>
  <w:style w:type="character" w:customStyle="1" w:styleId="FooterChar">
    <w:name w:val="Footer Char"/>
    <w:basedOn w:val="DefaultParagraphFont"/>
    <w:link w:val="Footer"/>
    <w:uiPriority w:val="99"/>
    <w:locked/>
    <w:rsid w:val="00686519"/>
    <w:rPr>
      <w:sz w:val="20"/>
    </w:rPr>
  </w:style>
  <w:style w:type="paragraph" w:styleId="ListParagraph">
    <w:name w:val="List Paragraph"/>
    <w:basedOn w:val="Normal"/>
    <w:link w:val="ListParagraphChar"/>
    <w:uiPriority w:val="99"/>
    <w:qFormat/>
    <w:rsid w:val="00686519"/>
    <w:pPr>
      <w:ind w:leftChars="200" w:left="480"/>
    </w:pPr>
  </w:style>
  <w:style w:type="character" w:customStyle="1" w:styleId="ListParagraphChar">
    <w:name w:val="List Paragraph Char"/>
    <w:link w:val="ListParagraph"/>
    <w:uiPriority w:val="99"/>
    <w:locked/>
    <w:rsid w:val="00686519"/>
    <w:rPr>
      <w:rFonts w:ascii="Calibri" w:eastAsia="新細明體" w:hAnsi="Calibri"/>
    </w:rPr>
  </w:style>
  <w:style w:type="paragraph" w:customStyle="1" w:styleId="a">
    <w:name w:val="標題大項"/>
    <w:basedOn w:val="Normal"/>
    <w:link w:val="a0"/>
    <w:uiPriority w:val="99"/>
    <w:rsid w:val="00686519"/>
    <w:pPr>
      <w:ind w:left="278" w:hangingChars="116" w:hanging="278"/>
      <w:jc w:val="both"/>
    </w:pPr>
    <w:rPr>
      <w:rFonts w:ascii="標楷體" w:eastAsia="標楷體" w:hAnsi="Times New Roman"/>
      <w:szCs w:val="24"/>
    </w:rPr>
  </w:style>
  <w:style w:type="character" w:customStyle="1" w:styleId="a0">
    <w:name w:val="標題大項 字元"/>
    <w:link w:val="a"/>
    <w:uiPriority w:val="99"/>
    <w:locked/>
    <w:rsid w:val="00686519"/>
    <w:rPr>
      <w:rFonts w:ascii="標楷體" w:eastAsia="標楷體" w:hAnsi="Times New Roman"/>
      <w:sz w:val="24"/>
    </w:rPr>
  </w:style>
  <w:style w:type="paragraph" w:styleId="BalloonText">
    <w:name w:val="Balloon Text"/>
    <w:basedOn w:val="Normal"/>
    <w:link w:val="BalloonTextChar"/>
    <w:uiPriority w:val="99"/>
    <w:semiHidden/>
    <w:rsid w:val="00C27356"/>
    <w:rPr>
      <w:rFonts w:ascii="Cambria" w:hAnsi="Cambria"/>
      <w:sz w:val="18"/>
      <w:szCs w:val="18"/>
    </w:rPr>
  </w:style>
  <w:style w:type="character" w:customStyle="1" w:styleId="BalloonTextChar">
    <w:name w:val="Balloon Text Char"/>
    <w:basedOn w:val="DefaultParagraphFont"/>
    <w:link w:val="BalloonText"/>
    <w:uiPriority w:val="99"/>
    <w:semiHidden/>
    <w:locked/>
    <w:rsid w:val="00C27356"/>
    <w:rPr>
      <w:rFonts w:ascii="Cambria" w:eastAsia="新細明體" w:hAnsi="Cambria"/>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4</Pages>
  <Words>335</Words>
  <Characters>1912</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人身保險及財產保險安定基金計提標準</dc:title>
  <dc:subject/>
  <dc:creator>張&amp;#21894;韋</dc:creator>
  <cp:keywords/>
  <dc:description/>
  <cp:lastModifiedBy>何淑月</cp:lastModifiedBy>
  <cp:revision>2</cp:revision>
  <cp:lastPrinted>2014-03-24T07:59:00Z</cp:lastPrinted>
  <dcterms:created xsi:type="dcterms:W3CDTF">2014-04-02T08:18:00Z</dcterms:created>
  <dcterms:modified xsi:type="dcterms:W3CDTF">2014-04-02T08:18:00Z</dcterms:modified>
</cp:coreProperties>
</file>