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1C" w:rsidRDefault="00CE791C" w:rsidP="00CE791C">
      <w:pPr>
        <w:jc w:val="center"/>
        <w:rPr>
          <w:rFonts w:ascii="標楷體" w:eastAsia="標楷體" w:hAnsi="標楷體"/>
          <w:bCs/>
          <w:color w:val="000000"/>
          <w:sz w:val="32"/>
          <w:szCs w:val="32"/>
        </w:rPr>
      </w:pPr>
      <w:bookmarkStart w:id="0" w:name="_GoBack"/>
      <w:bookmarkEnd w:id="0"/>
      <w:r>
        <w:rPr>
          <w:rFonts w:ascii="標楷體" w:eastAsia="標楷體" w:hAnsi="標楷體" w:hint="eastAsia"/>
          <w:bCs/>
          <w:color w:val="000000"/>
          <w:sz w:val="32"/>
          <w:szCs w:val="32"/>
        </w:rPr>
        <w:t>商業火災保險巨大保額業務非天災險費率檢核機制</w:t>
      </w:r>
    </w:p>
    <w:p w:rsidR="00CE791C" w:rsidRPr="00D2334C" w:rsidRDefault="00CE791C" w:rsidP="00CE791C">
      <w:pPr>
        <w:numPr>
          <w:ilvl w:val="0"/>
          <w:numId w:val="8"/>
        </w:numPr>
        <w:spacing w:line="500" w:lineRule="exact"/>
        <w:jc w:val="both"/>
        <w:rPr>
          <w:rFonts w:ascii="標楷體" w:eastAsia="標楷體" w:hAnsi="標楷體"/>
          <w:sz w:val="28"/>
          <w:szCs w:val="28"/>
        </w:rPr>
      </w:pPr>
      <w:r>
        <w:rPr>
          <w:rFonts w:ascii="標楷體" w:eastAsia="標楷體" w:hAnsi="標楷體" w:hint="eastAsia"/>
          <w:kern w:val="0"/>
          <w:sz w:val="28"/>
          <w:szCs w:val="28"/>
        </w:rPr>
        <w:t>為確認財產保險業承保</w:t>
      </w:r>
      <w:r>
        <w:rPr>
          <w:rFonts w:ascii="標楷體" w:eastAsia="標楷體" w:hAnsi="標楷體" w:hint="eastAsia"/>
          <w:sz w:val="28"/>
          <w:szCs w:val="28"/>
        </w:rPr>
        <w:t>商業火災保險巨大保額非天災險</w:t>
      </w:r>
      <w:r>
        <w:rPr>
          <w:rFonts w:ascii="標楷體" w:eastAsia="標楷體" w:hAnsi="標楷體" w:hint="eastAsia"/>
          <w:kern w:val="0"/>
          <w:sz w:val="28"/>
          <w:szCs w:val="28"/>
        </w:rPr>
        <w:t>費率之適足性、合理性及公平性，</w:t>
      </w:r>
      <w:r>
        <w:rPr>
          <w:rFonts w:ascii="標楷體" w:eastAsia="標楷體" w:hAnsi="標楷體" w:cs="標楷體" w:hint="eastAsia"/>
          <w:kern w:val="0"/>
          <w:sz w:val="28"/>
          <w:szCs w:val="28"/>
        </w:rPr>
        <w:t>依據</w:t>
      </w:r>
      <w:r>
        <w:rPr>
          <w:rFonts w:ascii="標楷體" w:eastAsia="標楷體" w:hAnsi="標楷體" w:hint="eastAsia"/>
          <w:sz w:val="28"/>
          <w:szCs w:val="28"/>
        </w:rPr>
        <w:t>「</w:t>
      </w:r>
      <w:r w:rsidRPr="00D2334C">
        <w:rPr>
          <w:rFonts w:ascii="標楷體" w:eastAsia="標楷體" w:hAnsi="標楷體" w:hint="eastAsia"/>
          <w:sz w:val="28"/>
          <w:szCs w:val="28"/>
        </w:rPr>
        <w:t>保險商品銷售前程序作業準則」第8條及「財產保險商品審查應注意事項」第20點，訂定本檢核機制</w:t>
      </w:r>
      <w:r w:rsidRPr="00D2334C">
        <w:rPr>
          <w:rFonts w:ascii="標楷體" w:eastAsia="標楷體" w:hAnsi="標楷體" w:hint="eastAsia"/>
          <w:kern w:val="0"/>
          <w:sz w:val="28"/>
          <w:szCs w:val="28"/>
        </w:rPr>
        <w:t>。</w:t>
      </w:r>
    </w:p>
    <w:p w:rsidR="00CE791C" w:rsidRPr="00D2334C" w:rsidRDefault="00CE791C" w:rsidP="00CE791C">
      <w:pPr>
        <w:numPr>
          <w:ilvl w:val="0"/>
          <w:numId w:val="8"/>
        </w:numPr>
        <w:spacing w:line="500" w:lineRule="exact"/>
        <w:jc w:val="both"/>
        <w:rPr>
          <w:rFonts w:ascii="標楷體" w:eastAsia="標楷體" w:hAnsi="標楷體"/>
          <w:sz w:val="28"/>
          <w:szCs w:val="28"/>
        </w:rPr>
      </w:pPr>
      <w:r w:rsidRPr="00D2334C">
        <w:rPr>
          <w:rFonts w:ascii="標楷體" w:eastAsia="標楷體" w:hAnsi="標楷體" w:hint="eastAsia"/>
          <w:sz w:val="28"/>
          <w:szCs w:val="28"/>
        </w:rPr>
        <w:t>財產保險業承保商業火災保險巨大保額非天災險費率檢核</w:t>
      </w:r>
      <w:r w:rsidRPr="00D2334C">
        <w:rPr>
          <w:rFonts w:ascii="標楷體" w:eastAsia="標楷體" w:hAnsi="標楷體" w:hint="eastAsia"/>
          <w:bCs/>
          <w:color w:val="000000"/>
          <w:sz w:val="28"/>
          <w:szCs w:val="28"/>
        </w:rPr>
        <w:t>內容至少</w:t>
      </w:r>
      <w:r w:rsidRPr="00D2334C">
        <w:rPr>
          <w:rFonts w:ascii="標楷體" w:eastAsia="標楷體" w:hAnsi="標楷體" w:hint="eastAsia"/>
          <w:color w:val="000000"/>
          <w:sz w:val="28"/>
          <w:szCs w:val="28"/>
        </w:rPr>
        <w:t>包含下列各項：</w:t>
      </w:r>
    </w:p>
    <w:p w:rsidR="00CE791C" w:rsidRPr="00CE791C" w:rsidRDefault="00CE791C" w:rsidP="00CE791C">
      <w:pPr>
        <w:numPr>
          <w:ilvl w:val="0"/>
          <w:numId w:val="9"/>
        </w:numPr>
        <w:spacing w:line="500" w:lineRule="exact"/>
        <w:jc w:val="both"/>
        <w:rPr>
          <w:rFonts w:ascii="標楷體" w:eastAsia="標楷體" w:hAnsi="標楷體"/>
          <w:sz w:val="28"/>
          <w:szCs w:val="28"/>
        </w:rPr>
      </w:pPr>
      <w:r w:rsidRPr="00D2334C">
        <w:rPr>
          <w:rFonts w:ascii="標楷體" w:eastAsia="標楷體" w:hAnsi="標楷體" w:hint="eastAsia"/>
          <w:color w:val="000000"/>
          <w:sz w:val="28"/>
          <w:szCs w:val="28"/>
        </w:rPr>
        <w:t>不得偏離依</w:t>
      </w:r>
      <w:r w:rsidRPr="00D2334C">
        <w:rPr>
          <w:rFonts w:ascii="標楷體" w:eastAsia="標楷體" w:hAnsi="標楷體" w:hint="eastAsia"/>
          <w:bCs/>
          <w:color w:val="000000"/>
          <w:sz w:val="28"/>
          <w:szCs w:val="28"/>
        </w:rPr>
        <w:t>財團法人保險事業發</w:t>
      </w:r>
      <w:r w:rsidRPr="00CE791C">
        <w:rPr>
          <w:rFonts w:ascii="標楷體" w:eastAsia="標楷體" w:hAnsi="標楷體" w:hint="eastAsia"/>
          <w:bCs/>
          <w:color w:val="000000"/>
          <w:sz w:val="28"/>
          <w:szCs w:val="28"/>
        </w:rPr>
        <w:t>展中心火災保險參考危險費率所訂基本危險費率及公式，且考量保額調整係數(如附表) 所核算後之合理偏離範圍。</w:t>
      </w:r>
    </w:p>
    <w:p w:rsidR="00CE791C" w:rsidRPr="00CE791C" w:rsidRDefault="00CE791C" w:rsidP="00CE791C">
      <w:pPr>
        <w:numPr>
          <w:ilvl w:val="0"/>
          <w:numId w:val="9"/>
        </w:numPr>
        <w:spacing w:line="500" w:lineRule="exact"/>
        <w:jc w:val="both"/>
        <w:rPr>
          <w:rFonts w:ascii="標楷體" w:eastAsia="標楷體" w:hAnsi="標楷體"/>
          <w:sz w:val="28"/>
          <w:szCs w:val="28"/>
        </w:rPr>
      </w:pPr>
      <w:r w:rsidRPr="00CE791C">
        <w:rPr>
          <w:rFonts w:ascii="標楷體" w:eastAsia="標楷體" w:hAnsi="標楷體" w:hint="eastAsia"/>
          <w:bCs/>
          <w:color w:val="000000"/>
          <w:sz w:val="28"/>
          <w:szCs w:val="28"/>
        </w:rPr>
        <w:t>超出財團法人保險事業發展中心核保技術調整係數之考量因子者，須於出單前由核保人員簽署具體詳實之評估報告書及檢附合理佐證資料。</w:t>
      </w:r>
    </w:p>
    <w:p w:rsidR="007D343D" w:rsidRPr="007D343D" w:rsidRDefault="007D343D" w:rsidP="007D343D">
      <w:pPr>
        <w:numPr>
          <w:ilvl w:val="0"/>
          <w:numId w:val="9"/>
        </w:numPr>
        <w:spacing w:line="500" w:lineRule="exact"/>
        <w:jc w:val="both"/>
        <w:rPr>
          <w:rFonts w:ascii="標楷體" w:eastAsia="標楷體" w:hAnsi="標楷體"/>
          <w:sz w:val="28"/>
          <w:szCs w:val="28"/>
        </w:rPr>
      </w:pPr>
      <w:r w:rsidRPr="007D343D">
        <w:rPr>
          <w:rFonts w:ascii="標楷體" w:eastAsia="標楷體" w:hAnsi="標楷體" w:hint="eastAsia"/>
          <w:sz w:val="28"/>
          <w:szCs w:val="28"/>
        </w:rPr>
        <w:t>每一保單</w:t>
      </w:r>
      <w:r w:rsidRPr="007D343D">
        <w:rPr>
          <w:rFonts w:ascii="標楷體" w:eastAsia="標楷體" w:hAnsi="標楷體" w:hint="eastAsia"/>
          <w:color w:val="000000"/>
          <w:sz w:val="28"/>
          <w:szCs w:val="28"/>
        </w:rPr>
        <w:t>之單一保險標的物地址範圍內之</w:t>
      </w:r>
      <w:r w:rsidRPr="007D343D">
        <w:rPr>
          <w:rFonts w:ascii="標楷體" w:eastAsia="標楷體" w:hAnsi="標楷體" w:hint="eastAsia"/>
          <w:sz w:val="28"/>
          <w:szCs w:val="28"/>
        </w:rPr>
        <w:t>火災保險，</w:t>
      </w:r>
      <w:r w:rsidRPr="007D343D">
        <w:rPr>
          <w:rFonts w:ascii="標楷體" w:eastAsia="標楷體" w:hAnsi="標楷體" w:hint="eastAsia"/>
          <w:color w:val="000000"/>
          <w:sz w:val="28"/>
          <w:szCs w:val="28"/>
        </w:rPr>
        <w:t>財產保險金額在新臺幣150億元以上或總保險金額達新臺幣300億元以上且有安排臨時再保險</w:t>
      </w:r>
      <w:r w:rsidRPr="007D343D">
        <w:rPr>
          <w:rFonts w:ascii="標楷體" w:eastAsia="標楷體" w:hAnsi="標楷體" w:hint="eastAsia"/>
          <w:sz w:val="28"/>
          <w:szCs w:val="28"/>
        </w:rPr>
        <w:t>者，其簽單費率得</w:t>
      </w:r>
      <w:r w:rsidRPr="007D343D">
        <w:rPr>
          <w:rFonts w:eastAsia="標楷體" w:hint="eastAsia"/>
          <w:bCs/>
          <w:sz w:val="28"/>
          <w:szCs w:val="28"/>
        </w:rPr>
        <w:t>合併自留及再保險兩部分之保險費計算所得之平均費率作為簽單費率。</w:t>
      </w:r>
      <w:r w:rsidRPr="007D343D">
        <w:rPr>
          <w:rFonts w:ascii="標楷體" w:eastAsia="標楷體" w:hAnsi="標楷體" w:hint="eastAsia"/>
          <w:sz w:val="28"/>
          <w:szCs w:val="28"/>
        </w:rPr>
        <w:t>其中自留費率應符合前揭二款之規定。</w:t>
      </w:r>
    </w:p>
    <w:p w:rsidR="00D2334C" w:rsidRPr="00A40850" w:rsidRDefault="00D2334C" w:rsidP="00D2334C">
      <w:pPr>
        <w:widowControl/>
        <w:jc w:val="center"/>
        <w:rPr>
          <w:rFonts w:ascii="標楷體" w:eastAsia="標楷體" w:hAnsi="標楷體"/>
          <w:sz w:val="32"/>
          <w:szCs w:val="32"/>
        </w:rPr>
      </w:pPr>
      <w:r>
        <w:rPr>
          <w:rFonts w:ascii="標楷體" w:eastAsia="標楷體" w:hAnsi="標楷體"/>
          <w:color w:val="000000"/>
          <w:sz w:val="32"/>
          <w:szCs w:val="32"/>
        </w:rPr>
        <w:br w:type="page"/>
      </w:r>
      <w:r>
        <w:rPr>
          <w:rFonts w:ascii="標楷體" w:eastAsia="標楷體" w:hAnsi="標楷體" w:hint="eastAsia"/>
          <w:color w:val="000000"/>
          <w:sz w:val="32"/>
          <w:szCs w:val="32"/>
        </w:rPr>
        <w:lastRenderedPageBreak/>
        <w:t>商業火災保險</w:t>
      </w:r>
      <w:r w:rsidRPr="00131D8F">
        <w:rPr>
          <w:rFonts w:ascii="標楷體" w:eastAsia="標楷體" w:hAnsi="標楷體" w:hint="eastAsia"/>
          <w:color w:val="000000"/>
          <w:sz w:val="32"/>
          <w:szCs w:val="32"/>
        </w:rPr>
        <w:t>非天災險保</w:t>
      </w:r>
      <w:r w:rsidRPr="00A40850">
        <w:rPr>
          <w:rFonts w:ascii="標楷體" w:eastAsia="標楷體" w:hAnsi="標楷體" w:hint="eastAsia"/>
          <w:sz w:val="32"/>
          <w:szCs w:val="32"/>
        </w:rPr>
        <w:t>額調整係數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3015"/>
      </w:tblGrid>
      <w:tr w:rsidR="00D2334C" w:rsidRPr="00E903CC" w:rsidTr="008F1A30">
        <w:tc>
          <w:tcPr>
            <w:tcW w:w="5916" w:type="dxa"/>
            <w:shd w:val="clear" w:color="auto" w:fill="auto"/>
          </w:tcPr>
          <w:p w:rsidR="00D2334C" w:rsidRPr="00131D8F" w:rsidRDefault="00D2334C" w:rsidP="008F1A30">
            <w:pPr>
              <w:widowControl/>
              <w:jc w:val="center"/>
              <w:rPr>
                <w:rFonts w:ascii="標楷體" w:eastAsia="標楷體" w:hAnsi="標楷體"/>
                <w:sz w:val="28"/>
                <w:szCs w:val="28"/>
              </w:rPr>
            </w:pPr>
            <w:r w:rsidRPr="00131D8F">
              <w:rPr>
                <w:rFonts w:ascii="標楷體" w:eastAsia="標楷體" w:hAnsi="標楷體" w:hint="eastAsia"/>
                <w:sz w:val="28"/>
                <w:szCs w:val="28"/>
              </w:rPr>
              <w:t>保額級距</w:t>
            </w:r>
          </w:p>
        </w:tc>
        <w:tc>
          <w:tcPr>
            <w:tcW w:w="3015" w:type="dxa"/>
            <w:shd w:val="clear" w:color="auto" w:fill="auto"/>
          </w:tcPr>
          <w:p w:rsidR="00D2334C" w:rsidRPr="00131D8F" w:rsidRDefault="00D2334C" w:rsidP="008F1A30">
            <w:pPr>
              <w:widowControl/>
              <w:jc w:val="center"/>
              <w:rPr>
                <w:rFonts w:ascii="標楷體" w:eastAsia="標楷體" w:hAnsi="標楷體"/>
                <w:sz w:val="28"/>
                <w:szCs w:val="28"/>
              </w:rPr>
            </w:pPr>
            <w:r w:rsidRPr="00131D8F">
              <w:rPr>
                <w:rFonts w:ascii="標楷體" w:eastAsia="標楷體" w:hAnsi="標楷體" w:hint="eastAsia"/>
                <w:sz w:val="28"/>
                <w:szCs w:val="28"/>
              </w:rPr>
              <w:t>累進係數</w:t>
            </w:r>
          </w:p>
        </w:tc>
      </w:tr>
      <w:tr w:rsidR="00D2334C" w:rsidRPr="00E903CC" w:rsidTr="008F1A30">
        <w:tc>
          <w:tcPr>
            <w:tcW w:w="5916" w:type="dxa"/>
            <w:shd w:val="clear" w:color="auto" w:fill="auto"/>
          </w:tcPr>
          <w:p w:rsidR="00D2334C" w:rsidRPr="00131D8F" w:rsidRDefault="009337ED" w:rsidP="009337ED">
            <w:pPr>
              <w:widowControl/>
              <w:rPr>
                <w:rFonts w:ascii="標楷體" w:eastAsia="標楷體" w:hAnsi="標楷體"/>
                <w:sz w:val="28"/>
                <w:szCs w:val="28"/>
              </w:rPr>
            </w:pPr>
            <w:r>
              <w:rPr>
                <w:rFonts w:ascii="標楷體" w:eastAsia="標楷體" w:hAnsi="標楷體" w:hint="eastAsia"/>
                <w:sz w:val="28"/>
                <w:szCs w:val="28"/>
              </w:rPr>
              <w:t>未達</w:t>
            </w:r>
            <w:r w:rsidR="00D2334C" w:rsidRPr="00131D8F">
              <w:rPr>
                <w:rFonts w:ascii="標楷體" w:eastAsia="標楷體" w:hAnsi="標楷體" w:hint="eastAsia"/>
                <w:sz w:val="28"/>
                <w:szCs w:val="28"/>
              </w:rPr>
              <w:t>30億</w:t>
            </w:r>
            <w:r>
              <w:rPr>
                <w:rFonts w:ascii="標楷體" w:eastAsia="標楷體" w:hAnsi="標楷體" w:hint="eastAsia"/>
                <w:sz w:val="28"/>
                <w:szCs w:val="28"/>
              </w:rPr>
              <w:t>元</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1.00</w:t>
            </w:r>
          </w:p>
        </w:tc>
      </w:tr>
      <w:tr w:rsidR="00D2334C" w:rsidRPr="00E903CC" w:rsidTr="008F1A30">
        <w:tc>
          <w:tcPr>
            <w:tcW w:w="5916" w:type="dxa"/>
            <w:shd w:val="clear" w:color="auto" w:fill="auto"/>
          </w:tcPr>
          <w:p w:rsidR="00D2334C" w:rsidRPr="00131D8F" w:rsidRDefault="00D2334C" w:rsidP="009337ED">
            <w:pPr>
              <w:widowControl/>
              <w:rPr>
                <w:rFonts w:ascii="標楷體" w:eastAsia="標楷體" w:hAnsi="標楷體"/>
                <w:sz w:val="28"/>
                <w:szCs w:val="28"/>
              </w:rPr>
            </w:pPr>
            <w:r w:rsidRPr="00131D8F">
              <w:rPr>
                <w:rFonts w:ascii="標楷體" w:eastAsia="標楷體" w:hAnsi="標楷體" w:hint="eastAsia"/>
                <w:sz w:val="28"/>
                <w:szCs w:val="28"/>
              </w:rPr>
              <w:t>30億</w:t>
            </w:r>
            <w:r w:rsidR="009337ED">
              <w:rPr>
                <w:rFonts w:ascii="標楷體" w:eastAsia="標楷體" w:hAnsi="標楷體" w:hint="eastAsia"/>
                <w:sz w:val="28"/>
                <w:szCs w:val="28"/>
              </w:rPr>
              <w:t>元</w:t>
            </w:r>
            <w:r w:rsidRPr="00131D8F">
              <w:rPr>
                <w:rFonts w:ascii="標楷體" w:eastAsia="標楷體" w:hAnsi="標楷體" w:hint="eastAsia"/>
                <w:sz w:val="28"/>
                <w:szCs w:val="28"/>
              </w:rPr>
              <w:t>以上</w:t>
            </w:r>
            <w:r w:rsidR="009337ED">
              <w:rPr>
                <w:rFonts w:ascii="標楷體" w:eastAsia="標楷體" w:hAnsi="標楷體" w:hint="eastAsia"/>
                <w:sz w:val="28"/>
                <w:szCs w:val="28"/>
              </w:rPr>
              <w:t>，未達</w:t>
            </w:r>
            <w:r w:rsidRPr="00131D8F">
              <w:rPr>
                <w:rFonts w:ascii="標楷體" w:eastAsia="標楷體" w:hAnsi="標楷體" w:hint="eastAsia"/>
                <w:sz w:val="28"/>
                <w:szCs w:val="28"/>
              </w:rPr>
              <w:t>50億</w:t>
            </w:r>
            <w:r w:rsidR="009337ED">
              <w:rPr>
                <w:rFonts w:ascii="標楷體" w:eastAsia="標楷體" w:hAnsi="標楷體" w:hint="eastAsia"/>
                <w:sz w:val="28"/>
                <w:szCs w:val="28"/>
              </w:rPr>
              <w:t>元</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0.50</w:t>
            </w:r>
          </w:p>
        </w:tc>
      </w:tr>
      <w:tr w:rsidR="00D2334C" w:rsidRPr="00E903CC" w:rsidTr="008F1A30">
        <w:tc>
          <w:tcPr>
            <w:tcW w:w="5916" w:type="dxa"/>
            <w:shd w:val="clear" w:color="auto" w:fill="auto"/>
          </w:tcPr>
          <w:p w:rsidR="00D2334C" w:rsidRPr="00131D8F" w:rsidRDefault="00D2334C" w:rsidP="009337ED">
            <w:pPr>
              <w:widowControl/>
              <w:rPr>
                <w:rFonts w:ascii="標楷體" w:eastAsia="標楷體" w:hAnsi="標楷體"/>
                <w:sz w:val="28"/>
                <w:szCs w:val="28"/>
              </w:rPr>
            </w:pPr>
            <w:r w:rsidRPr="00131D8F">
              <w:rPr>
                <w:rFonts w:ascii="標楷體" w:eastAsia="標楷體" w:hAnsi="標楷體" w:hint="eastAsia"/>
                <w:sz w:val="28"/>
                <w:szCs w:val="28"/>
              </w:rPr>
              <w:t>50億</w:t>
            </w:r>
            <w:r w:rsidR="009337ED">
              <w:rPr>
                <w:rFonts w:ascii="標楷體" w:eastAsia="標楷體" w:hAnsi="標楷體" w:hint="eastAsia"/>
                <w:sz w:val="28"/>
                <w:szCs w:val="28"/>
              </w:rPr>
              <w:t>元</w:t>
            </w:r>
            <w:r w:rsidRPr="00131D8F">
              <w:rPr>
                <w:rFonts w:ascii="標楷體" w:eastAsia="標楷體" w:hAnsi="標楷體" w:hint="eastAsia"/>
                <w:sz w:val="28"/>
                <w:szCs w:val="28"/>
              </w:rPr>
              <w:t>以上</w:t>
            </w:r>
            <w:r w:rsidR="009337ED">
              <w:rPr>
                <w:rFonts w:ascii="標楷體" w:eastAsia="標楷體" w:hAnsi="標楷體" w:hint="eastAsia"/>
                <w:sz w:val="28"/>
                <w:szCs w:val="28"/>
              </w:rPr>
              <w:t>，未達</w:t>
            </w:r>
            <w:r w:rsidRPr="00131D8F">
              <w:rPr>
                <w:rFonts w:ascii="標楷體" w:eastAsia="標楷體" w:hAnsi="標楷體" w:hint="eastAsia"/>
                <w:sz w:val="28"/>
                <w:szCs w:val="28"/>
              </w:rPr>
              <w:t>70億</w:t>
            </w:r>
            <w:r w:rsidR="009337ED">
              <w:rPr>
                <w:rFonts w:ascii="標楷體" w:eastAsia="標楷體" w:hAnsi="標楷體" w:hint="eastAsia"/>
                <w:sz w:val="28"/>
                <w:szCs w:val="28"/>
              </w:rPr>
              <w:t>元</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0.20</w:t>
            </w:r>
          </w:p>
        </w:tc>
      </w:tr>
      <w:tr w:rsidR="00D2334C" w:rsidRPr="00E903CC" w:rsidTr="008F1A30">
        <w:tc>
          <w:tcPr>
            <w:tcW w:w="5916" w:type="dxa"/>
            <w:shd w:val="clear" w:color="auto" w:fill="auto"/>
          </w:tcPr>
          <w:p w:rsidR="00D2334C" w:rsidRPr="00131D8F" w:rsidRDefault="00D2334C" w:rsidP="008F1A30">
            <w:pPr>
              <w:widowControl/>
              <w:rPr>
                <w:rFonts w:ascii="標楷體" w:eastAsia="標楷體" w:hAnsi="標楷體"/>
                <w:sz w:val="28"/>
                <w:szCs w:val="28"/>
              </w:rPr>
            </w:pPr>
            <w:r w:rsidRPr="00131D8F">
              <w:rPr>
                <w:rFonts w:ascii="標楷體" w:eastAsia="標楷體" w:hAnsi="標楷體" w:hint="eastAsia"/>
                <w:sz w:val="28"/>
                <w:szCs w:val="28"/>
              </w:rPr>
              <w:t>70億</w:t>
            </w:r>
            <w:r w:rsidR="009337ED">
              <w:rPr>
                <w:rFonts w:ascii="標楷體" w:eastAsia="標楷體" w:hAnsi="標楷體" w:hint="eastAsia"/>
                <w:sz w:val="28"/>
                <w:szCs w:val="28"/>
              </w:rPr>
              <w:t>元</w:t>
            </w:r>
            <w:r w:rsidRPr="00131D8F">
              <w:rPr>
                <w:rFonts w:ascii="標楷體" w:eastAsia="標楷體" w:hAnsi="標楷體" w:hint="eastAsia"/>
                <w:sz w:val="28"/>
                <w:szCs w:val="28"/>
              </w:rPr>
              <w:t>以上</w:t>
            </w:r>
            <w:r w:rsidR="009337ED">
              <w:rPr>
                <w:rFonts w:ascii="標楷體" w:eastAsia="標楷體" w:hAnsi="標楷體" w:hint="eastAsia"/>
                <w:sz w:val="28"/>
                <w:szCs w:val="28"/>
              </w:rPr>
              <w:t>，未達</w:t>
            </w:r>
            <w:r w:rsidRPr="00131D8F">
              <w:rPr>
                <w:rFonts w:ascii="標楷體" w:eastAsia="標楷體" w:hAnsi="標楷體" w:hint="eastAsia"/>
                <w:sz w:val="28"/>
                <w:szCs w:val="28"/>
              </w:rPr>
              <w:t>100億</w:t>
            </w:r>
            <w:r w:rsidR="009337ED">
              <w:rPr>
                <w:rFonts w:ascii="標楷體" w:eastAsia="標楷體" w:hAnsi="標楷體" w:hint="eastAsia"/>
                <w:sz w:val="28"/>
                <w:szCs w:val="28"/>
              </w:rPr>
              <w:t>元</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0.19</w:t>
            </w:r>
          </w:p>
        </w:tc>
      </w:tr>
      <w:tr w:rsidR="00D2334C" w:rsidRPr="00E903CC" w:rsidTr="008F1A30">
        <w:tc>
          <w:tcPr>
            <w:tcW w:w="5916" w:type="dxa"/>
            <w:shd w:val="clear" w:color="auto" w:fill="auto"/>
          </w:tcPr>
          <w:p w:rsidR="00D2334C" w:rsidRPr="00131D8F" w:rsidRDefault="00D2334C" w:rsidP="008F1A30">
            <w:pPr>
              <w:widowControl/>
              <w:rPr>
                <w:rFonts w:ascii="標楷體" w:eastAsia="標楷體" w:hAnsi="標楷體"/>
                <w:sz w:val="28"/>
                <w:szCs w:val="28"/>
              </w:rPr>
            </w:pPr>
            <w:r w:rsidRPr="00131D8F">
              <w:rPr>
                <w:rFonts w:ascii="標楷體" w:eastAsia="標楷體" w:hAnsi="標楷體" w:hint="eastAsia"/>
                <w:sz w:val="28"/>
                <w:szCs w:val="28"/>
              </w:rPr>
              <w:t>100億</w:t>
            </w:r>
            <w:r w:rsidR="009337ED">
              <w:rPr>
                <w:rFonts w:ascii="標楷體" w:eastAsia="標楷體" w:hAnsi="標楷體" w:hint="eastAsia"/>
                <w:sz w:val="28"/>
                <w:szCs w:val="28"/>
              </w:rPr>
              <w:t>元</w:t>
            </w:r>
            <w:r w:rsidRPr="00131D8F">
              <w:rPr>
                <w:rFonts w:ascii="標楷體" w:eastAsia="標楷體" w:hAnsi="標楷體" w:hint="eastAsia"/>
                <w:sz w:val="28"/>
                <w:szCs w:val="28"/>
              </w:rPr>
              <w:t>以上</w:t>
            </w:r>
            <w:r w:rsidR="009337ED">
              <w:rPr>
                <w:rFonts w:ascii="標楷體" w:eastAsia="標楷體" w:hAnsi="標楷體" w:hint="eastAsia"/>
                <w:sz w:val="28"/>
                <w:szCs w:val="28"/>
              </w:rPr>
              <w:t>，未達</w:t>
            </w:r>
            <w:r w:rsidRPr="00131D8F">
              <w:rPr>
                <w:rFonts w:ascii="標楷體" w:eastAsia="標楷體" w:hAnsi="標楷體" w:hint="eastAsia"/>
                <w:sz w:val="28"/>
                <w:szCs w:val="28"/>
              </w:rPr>
              <w:t>200億</w:t>
            </w:r>
            <w:r w:rsidR="009337ED">
              <w:rPr>
                <w:rFonts w:ascii="標楷體" w:eastAsia="標楷體" w:hAnsi="標楷體" w:hint="eastAsia"/>
                <w:sz w:val="28"/>
                <w:szCs w:val="28"/>
              </w:rPr>
              <w:t>元</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0.18</w:t>
            </w:r>
          </w:p>
        </w:tc>
      </w:tr>
      <w:tr w:rsidR="00D2334C" w:rsidRPr="00E903CC" w:rsidTr="008F1A30">
        <w:tc>
          <w:tcPr>
            <w:tcW w:w="5916" w:type="dxa"/>
            <w:shd w:val="clear" w:color="auto" w:fill="auto"/>
          </w:tcPr>
          <w:p w:rsidR="00D2334C" w:rsidRPr="00131D8F" w:rsidRDefault="00D2334C" w:rsidP="008F1A30">
            <w:pPr>
              <w:widowControl/>
              <w:rPr>
                <w:rFonts w:ascii="標楷體" w:eastAsia="標楷體" w:hAnsi="標楷體"/>
                <w:sz w:val="28"/>
                <w:szCs w:val="28"/>
              </w:rPr>
            </w:pPr>
            <w:r w:rsidRPr="00131D8F">
              <w:rPr>
                <w:rFonts w:ascii="標楷體" w:eastAsia="標楷體" w:hAnsi="標楷體" w:hint="eastAsia"/>
                <w:sz w:val="28"/>
                <w:szCs w:val="28"/>
              </w:rPr>
              <w:t>200億</w:t>
            </w:r>
            <w:r w:rsidR="009337ED">
              <w:rPr>
                <w:rFonts w:ascii="標楷體" w:eastAsia="標楷體" w:hAnsi="標楷體" w:hint="eastAsia"/>
                <w:sz w:val="28"/>
                <w:szCs w:val="28"/>
              </w:rPr>
              <w:t>元</w:t>
            </w:r>
            <w:r w:rsidRPr="00131D8F">
              <w:rPr>
                <w:rFonts w:ascii="標楷體" w:eastAsia="標楷體" w:hAnsi="標楷體" w:hint="eastAsia"/>
                <w:sz w:val="28"/>
                <w:szCs w:val="28"/>
              </w:rPr>
              <w:t>以上</w:t>
            </w:r>
            <w:r w:rsidR="009337ED">
              <w:rPr>
                <w:rFonts w:ascii="標楷體" w:eastAsia="標楷體" w:hAnsi="標楷體" w:hint="eastAsia"/>
                <w:sz w:val="28"/>
                <w:szCs w:val="28"/>
              </w:rPr>
              <w:t>，未達</w:t>
            </w:r>
            <w:r w:rsidRPr="00131D8F">
              <w:rPr>
                <w:rFonts w:ascii="標楷體" w:eastAsia="標楷體" w:hAnsi="標楷體" w:hint="eastAsia"/>
                <w:sz w:val="28"/>
                <w:szCs w:val="28"/>
              </w:rPr>
              <w:t>300億</w:t>
            </w:r>
            <w:r w:rsidR="009337ED">
              <w:rPr>
                <w:rFonts w:ascii="標楷體" w:eastAsia="標楷體" w:hAnsi="標楷體" w:hint="eastAsia"/>
                <w:sz w:val="28"/>
                <w:szCs w:val="28"/>
              </w:rPr>
              <w:t>元</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0.15</w:t>
            </w:r>
          </w:p>
        </w:tc>
      </w:tr>
      <w:tr w:rsidR="00D2334C" w:rsidRPr="00E903CC" w:rsidTr="008F1A30">
        <w:tc>
          <w:tcPr>
            <w:tcW w:w="5916" w:type="dxa"/>
            <w:shd w:val="clear" w:color="auto" w:fill="auto"/>
          </w:tcPr>
          <w:p w:rsidR="00D2334C" w:rsidRPr="00131D8F" w:rsidRDefault="00D2334C" w:rsidP="008F1A30">
            <w:pPr>
              <w:widowControl/>
              <w:rPr>
                <w:rFonts w:ascii="標楷體" w:eastAsia="標楷體" w:hAnsi="標楷體"/>
                <w:sz w:val="28"/>
                <w:szCs w:val="28"/>
              </w:rPr>
            </w:pPr>
            <w:r w:rsidRPr="00131D8F">
              <w:rPr>
                <w:rFonts w:ascii="標楷體" w:eastAsia="標楷體" w:hAnsi="標楷體" w:hint="eastAsia"/>
                <w:sz w:val="28"/>
                <w:szCs w:val="28"/>
              </w:rPr>
              <w:t>300億</w:t>
            </w:r>
            <w:r w:rsidR="009337ED">
              <w:rPr>
                <w:rFonts w:ascii="標楷體" w:eastAsia="標楷體" w:hAnsi="標楷體" w:hint="eastAsia"/>
                <w:sz w:val="28"/>
                <w:szCs w:val="28"/>
              </w:rPr>
              <w:t>元</w:t>
            </w:r>
            <w:r w:rsidRPr="00131D8F">
              <w:rPr>
                <w:rFonts w:ascii="標楷體" w:eastAsia="標楷體" w:hAnsi="標楷體" w:hint="eastAsia"/>
                <w:sz w:val="28"/>
                <w:szCs w:val="28"/>
              </w:rPr>
              <w:t>以上</w:t>
            </w:r>
          </w:p>
        </w:tc>
        <w:tc>
          <w:tcPr>
            <w:tcW w:w="3015" w:type="dxa"/>
            <w:shd w:val="clear" w:color="auto" w:fill="auto"/>
          </w:tcPr>
          <w:p w:rsidR="00D2334C" w:rsidRPr="00131D8F" w:rsidRDefault="00D2334C" w:rsidP="008F1A30">
            <w:pPr>
              <w:jc w:val="center"/>
              <w:rPr>
                <w:rFonts w:ascii="標楷體" w:eastAsia="標楷體" w:hAnsi="標楷體"/>
                <w:sz w:val="28"/>
                <w:szCs w:val="28"/>
              </w:rPr>
            </w:pPr>
            <w:r w:rsidRPr="00131D8F">
              <w:rPr>
                <w:rFonts w:ascii="標楷體" w:eastAsia="標楷體" w:hAnsi="標楷體"/>
                <w:sz w:val="28"/>
                <w:szCs w:val="28"/>
              </w:rPr>
              <w:t>0.10</w:t>
            </w:r>
          </w:p>
        </w:tc>
      </w:tr>
    </w:tbl>
    <w:p w:rsidR="00D2334C" w:rsidRDefault="00D2334C" w:rsidP="00D2334C">
      <w:pPr>
        <w:widowControl/>
        <w:ind w:leftChars="1" w:left="477" w:hangingChars="198" w:hanging="475"/>
        <w:rPr>
          <w:rFonts w:ascii="標楷體" w:eastAsia="標楷體" w:hAnsi="標楷體"/>
          <w:szCs w:val="24"/>
        </w:rPr>
      </w:pPr>
      <w:r w:rsidRPr="00A40850">
        <w:rPr>
          <w:rFonts w:ascii="標楷體" w:eastAsia="標楷體" w:hAnsi="標楷體" w:hint="eastAsia"/>
          <w:szCs w:val="24"/>
        </w:rPr>
        <w:t>註：保額調整係數表所稱「保額級距」係指</w:t>
      </w:r>
      <w:r w:rsidRPr="00BD287B">
        <w:rPr>
          <w:rFonts w:ascii="標楷體" w:eastAsia="標楷體" w:hAnsi="標楷體" w:hint="eastAsia"/>
          <w:color w:val="000000"/>
          <w:szCs w:val="24"/>
        </w:rPr>
        <w:t>該保單</w:t>
      </w:r>
      <w:r w:rsidRPr="00BD287B">
        <w:rPr>
          <w:rFonts w:ascii="標楷體" w:eastAsia="標楷體" w:hAnsi="標楷體" w:hint="eastAsia"/>
          <w:szCs w:val="24"/>
        </w:rPr>
        <w:t>火災保險</w:t>
      </w:r>
      <w:r w:rsidRPr="00BD287B">
        <w:rPr>
          <w:rFonts w:ascii="標楷體" w:eastAsia="標楷體" w:hAnsi="標楷體" w:hint="eastAsia"/>
          <w:color w:val="000000"/>
          <w:szCs w:val="24"/>
        </w:rPr>
        <w:t>之總</w:t>
      </w:r>
      <w:r w:rsidRPr="00131D8F">
        <w:rPr>
          <w:rFonts w:ascii="標楷體" w:eastAsia="標楷體" w:hAnsi="標楷體" w:hint="eastAsia"/>
          <w:color w:val="000000"/>
          <w:szCs w:val="24"/>
        </w:rPr>
        <w:t>保險金額</w:t>
      </w:r>
      <w:r w:rsidRPr="00A40850">
        <w:rPr>
          <w:rFonts w:ascii="標楷體" w:eastAsia="標楷體" w:hAnsi="標楷體" w:hint="eastAsia"/>
          <w:szCs w:val="24"/>
        </w:rPr>
        <w:t>，但不包括營業中斷險之保險金額。</w:t>
      </w:r>
    </w:p>
    <w:p w:rsidR="00D2334C" w:rsidRDefault="00D2334C" w:rsidP="00D2334C">
      <w:pPr>
        <w:widowControl/>
        <w:ind w:leftChars="1" w:left="477" w:hangingChars="198" w:hanging="475"/>
        <w:rPr>
          <w:rFonts w:ascii="標楷體" w:eastAsia="標楷體" w:hAnsi="標楷體"/>
          <w:szCs w:val="24"/>
        </w:rPr>
      </w:pPr>
    </w:p>
    <w:sectPr w:rsidR="00D2334C" w:rsidSect="00CE791C">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15" w:rsidRDefault="00D71C15" w:rsidP="003C484E">
      <w:r>
        <w:separator/>
      </w:r>
    </w:p>
  </w:endnote>
  <w:endnote w:type="continuationSeparator" w:id="0">
    <w:p w:rsidR="00D71C15" w:rsidRDefault="00D71C15" w:rsidP="003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3F" w:rsidRDefault="000A543F">
    <w:pPr>
      <w:pStyle w:val="aa"/>
      <w:jc w:val="center"/>
    </w:pPr>
    <w:r>
      <w:fldChar w:fldCharType="begin"/>
    </w:r>
    <w:r>
      <w:instrText>PAGE   \* MERGEFORMAT</w:instrText>
    </w:r>
    <w:r>
      <w:fldChar w:fldCharType="separate"/>
    </w:r>
    <w:r w:rsidR="005D3D65" w:rsidRPr="005D3D65">
      <w:rPr>
        <w:noProof/>
        <w:lang w:val="zh-TW"/>
      </w:rPr>
      <w:t>1</w:t>
    </w:r>
    <w:r>
      <w:fldChar w:fldCharType="end"/>
    </w:r>
  </w:p>
  <w:p w:rsidR="000A543F" w:rsidRDefault="000A54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15" w:rsidRDefault="00D71C15" w:rsidP="003C484E">
      <w:r>
        <w:separator/>
      </w:r>
    </w:p>
  </w:footnote>
  <w:footnote w:type="continuationSeparator" w:id="0">
    <w:p w:rsidR="00D71C15" w:rsidRDefault="00D71C15" w:rsidP="003C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781"/>
    <w:multiLevelType w:val="hybridMultilevel"/>
    <w:tmpl w:val="AE8E18F4"/>
    <w:lvl w:ilvl="0" w:tplc="010EC658">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5E6073F"/>
    <w:multiLevelType w:val="hybridMultilevel"/>
    <w:tmpl w:val="45400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803E6B"/>
    <w:multiLevelType w:val="hybridMultilevel"/>
    <w:tmpl w:val="BA643466"/>
    <w:lvl w:ilvl="0" w:tplc="18221CBC">
      <w:start w:val="1"/>
      <w:numFmt w:val="taiwaneseCountingThousand"/>
      <w:lvlText w:val="(%1)"/>
      <w:lvlJc w:val="left"/>
      <w:pPr>
        <w:ind w:left="1440" w:hanging="720"/>
      </w:pPr>
      <w:rPr>
        <w:rFonts w:hint="default"/>
        <w:sz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9473A02"/>
    <w:multiLevelType w:val="hybridMultilevel"/>
    <w:tmpl w:val="E77E6634"/>
    <w:lvl w:ilvl="0" w:tplc="C3203C90">
      <w:start w:val="1"/>
      <w:numFmt w:val="taiwaneseCountingThousand"/>
      <w:lvlText w:val="(%1)"/>
      <w:lvlJc w:val="left"/>
      <w:pPr>
        <w:ind w:left="1087" w:hanging="360"/>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4">
    <w:nsid w:val="301E1EC4"/>
    <w:multiLevelType w:val="hybridMultilevel"/>
    <w:tmpl w:val="44D064D8"/>
    <w:lvl w:ilvl="0" w:tplc="D8DE5C3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F743D8"/>
    <w:multiLevelType w:val="hybridMultilevel"/>
    <w:tmpl w:val="643A7FF0"/>
    <w:lvl w:ilvl="0" w:tplc="4120C1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4020D9"/>
    <w:multiLevelType w:val="hybridMultilevel"/>
    <w:tmpl w:val="E25C91D2"/>
    <w:lvl w:ilvl="0" w:tplc="B0D2F01E">
      <w:start w:val="1"/>
      <w:numFmt w:val="taiwaneseCountingThousand"/>
      <w:lvlText w:val="%1、"/>
      <w:lvlJc w:val="left"/>
      <w:pPr>
        <w:ind w:left="720" w:hanging="720"/>
      </w:pPr>
      <w:rPr>
        <w:rFonts w:ascii="標楷體" w:eastAsia="標楷體" w:hAnsi="標楷體" w:cs="標楷體"/>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295D0E"/>
    <w:multiLevelType w:val="hybridMultilevel"/>
    <w:tmpl w:val="94E82638"/>
    <w:lvl w:ilvl="0" w:tplc="7DBC1AE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3F"/>
    <w:rsid w:val="00014B74"/>
    <w:rsid w:val="00017D3C"/>
    <w:rsid w:val="00024819"/>
    <w:rsid w:val="00032E63"/>
    <w:rsid w:val="00036E4A"/>
    <w:rsid w:val="0004262B"/>
    <w:rsid w:val="000757B0"/>
    <w:rsid w:val="00077A12"/>
    <w:rsid w:val="000872BD"/>
    <w:rsid w:val="000A543F"/>
    <w:rsid w:val="000C2297"/>
    <w:rsid w:val="000C552D"/>
    <w:rsid w:val="000D6A2C"/>
    <w:rsid w:val="000F2378"/>
    <w:rsid w:val="000F5648"/>
    <w:rsid w:val="000F633A"/>
    <w:rsid w:val="00125B5D"/>
    <w:rsid w:val="00131D8F"/>
    <w:rsid w:val="00155A35"/>
    <w:rsid w:val="0016231F"/>
    <w:rsid w:val="00163385"/>
    <w:rsid w:val="0017681E"/>
    <w:rsid w:val="001773B0"/>
    <w:rsid w:val="001A2904"/>
    <w:rsid w:val="001E14AD"/>
    <w:rsid w:val="00204838"/>
    <w:rsid w:val="00213235"/>
    <w:rsid w:val="00220A3F"/>
    <w:rsid w:val="002257E1"/>
    <w:rsid w:val="00227D06"/>
    <w:rsid w:val="0023119F"/>
    <w:rsid w:val="002402C3"/>
    <w:rsid w:val="00256D29"/>
    <w:rsid w:val="00262392"/>
    <w:rsid w:val="002635A1"/>
    <w:rsid w:val="0029702E"/>
    <w:rsid w:val="002C15FB"/>
    <w:rsid w:val="002C63DB"/>
    <w:rsid w:val="002E0A13"/>
    <w:rsid w:val="003007FF"/>
    <w:rsid w:val="003123CC"/>
    <w:rsid w:val="00390359"/>
    <w:rsid w:val="003B7758"/>
    <w:rsid w:val="003C484E"/>
    <w:rsid w:val="003D701D"/>
    <w:rsid w:val="004053C9"/>
    <w:rsid w:val="00421079"/>
    <w:rsid w:val="00427187"/>
    <w:rsid w:val="00444757"/>
    <w:rsid w:val="00447092"/>
    <w:rsid w:val="00491BEB"/>
    <w:rsid w:val="004974FC"/>
    <w:rsid w:val="004D5DC0"/>
    <w:rsid w:val="004E1DFF"/>
    <w:rsid w:val="004E64E9"/>
    <w:rsid w:val="004F6053"/>
    <w:rsid w:val="004F752D"/>
    <w:rsid w:val="0050592B"/>
    <w:rsid w:val="00516743"/>
    <w:rsid w:val="005420D3"/>
    <w:rsid w:val="005454B4"/>
    <w:rsid w:val="005556B0"/>
    <w:rsid w:val="00574C66"/>
    <w:rsid w:val="005A5315"/>
    <w:rsid w:val="005A6AC1"/>
    <w:rsid w:val="005B1079"/>
    <w:rsid w:val="005B71C9"/>
    <w:rsid w:val="005D3D65"/>
    <w:rsid w:val="005E4622"/>
    <w:rsid w:val="005E541A"/>
    <w:rsid w:val="005F1877"/>
    <w:rsid w:val="00602AAD"/>
    <w:rsid w:val="006036EB"/>
    <w:rsid w:val="006647FD"/>
    <w:rsid w:val="0067514E"/>
    <w:rsid w:val="00682911"/>
    <w:rsid w:val="00697106"/>
    <w:rsid w:val="006B1F72"/>
    <w:rsid w:val="006C7BF9"/>
    <w:rsid w:val="006E0C72"/>
    <w:rsid w:val="006E4ECE"/>
    <w:rsid w:val="006F5E49"/>
    <w:rsid w:val="007016D5"/>
    <w:rsid w:val="00774B9F"/>
    <w:rsid w:val="00796D0F"/>
    <w:rsid w:val="007A0EDE"/>
    <w:rsid w:val="007D046D"/>
    <w:rsid w:val="007D343D"/>
    <w:rsid w:val="0081122F"/>
    <w:rsid w:val="00812A55"/>
    <w:rsid w:val="00832776"/>
    <w:rsid w:val="00865FE0"/>
    <w:rsid w:val="00887B20"/>
    <w:rsid w:val="008A1C18"/>
    <w:rsid w:val="008B357B"/>
    <w:rsid w:val="008C5169"/>
    <w:rsid w:val="008C6AE5"/>
    <w:rsid w:val="008D4F9D"/>
    <w:rsid w:val="008D5872"/>
    <w:rsid w:val="008E1C48"/>
    <w:rsid w:val="008E33FA"/>
    <w:rsid w:val="008F1A30"/>
    <w:rsid w:val="00901062"/>
    <w:rsid w:val="0091312B"/>
    <w:rsid w:val="009337ED"/>
    <w:rsid w:val="0095168B"/>
    <w:rsid w:val="009555E1"/>
    <w:rsid w:val="009B16D7"/>
    <w:rsid w:val="009C3090"/>
    <w:rsid w:val="009C41FE"/>
    <w:rsid w:val="009D30C3"/>
    <w:rsid w:val="009E1646"/>
    <w:rsid w:val="00A062E7"/>
    <w:rsid w:val="00A30076"/>
    <w:rsid w:val="00A3285C"/>
    <w:rsid w:val="00A40850"/>
    <w:rsid w:val="00A6115E"/>
    <w:rsid w:val="00A6451F"/>
    <w:rsid w:val="00A67C62"/>
    <w:rsid w:val="00AA6019"/>
    <w:rsid w:val="00AB768A"/>
    <w:rsid w:val="00B0224E"/>
    <w:rsid w:val="00B10E05"/>
    <w:rsid w:val="00B1339F"/>
    <w:rsid w:val="00B63FBD"/>
    <w:rsid w:val="00B738B6"/>
    <w:rsid w:val="00B967A5"/>
    <w:rsid w:val="00BB0BC1"/>
    <w:rsid w:val="00BD287B"/>
    <w:rsid w:val="00C12470"/>
    <w:rsid w:val="00C23191"/>
    <w:rsid w:val="00C2446B"/>
    <w:rsid w:val="00C30120"/>
    <w:rsid w:val="00C4113E"/>
    <w:rsid w:val="00C41B28"/>
    <w:rsid w:val="00C43F25"/>
    <w:rsid w:val="00C63435"/>
    <w:rsid w:val="00C7164A"/>
    <w:rsid w:val="00C771C4"/>
    <w:rsid w:val="00CB36AE"/>
    <w:rsid w:val="00CC4F93"/>
    <w:rsid w:val="00CE1B14"/>
    <w:rsid w:val="00CE791C"/>
    <w:rsid w:val="00D2334C"/>
    <w:rsid w:val="00D43FBE"/>
    <w:rsid w:val="00D4677B"/>
    <w:rsid w:val="00D47A5C"/>
    <w:rsid w:val="00D51D34"/>
    <w:rsid w:val="00D55074"/>
    <w:rsid w:val="00D63D27"/>
    <w:rsid w:val="00D66A90"/>
    <w:rsid w:val="00D71C15"/>
    <w:rsid w:val="00D8087E"/>
    <w:rsid w:val="00D816E2"/>
    <w:rsid w:val="00D820F3"/>
    <w:rsid w:val="00DB5E60"/>
    <w:rsid w:val="00DC5CE2"/>
    <w:rsid w:val="00DD2945"/>
    <w:rsid w:val="00E20E55"/>
    <w:rsid w:val="00E430B2"/>
    <w:rsid w:val="00E44FBA"/>
    <w:rsid w:val="00E60466"/>
    <w:rsid w:val="00E903CC"/>
    <w:rsid w:val="00EB3011"/>
    <w:rsid w:val="00EC4610"/>
    <w:rsid w:val="00EF18D0"/>
    <w:rsid w:val="00F04CD9"/>
    <w:rsid w:val="00F323E4"/>
    <w:rsid w:val="00F37335"/>
    <w:rsid w:val="00F42E85"/>
    <w:rsid w:val="00FA0B07"/>
    <w:rsid w:val="00FA5A08"/>
    <w:rsid w:val="00FB4906"/>
    <w:rsid w:val="00FB78F5"/>
    <w:rsid w:val="00FC0941"/>
    <w:rsid w:val="00FC3786"/>
    <w:rsid w:val="00FD2A82"/>
    <w:rsid w:val="00FD54E2"/>
    <w:rsid w:val="00FD6F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A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A3F"/>
    <w:pPr>
      <w:ind w:leftChars="200" w:left="480"/>
    </w:pPr>
  </w:style>
  <w:style w:type="table" w:styleId="a4">
    <w:name w:val="Table Grid"/>
    <w:basedOn w:val="a1"/>
    <w:uiPriority w:val="59"/>
    <w:rsid w:val="00C7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0359"/>
    <w:rPr>
      <w:rFonts w:ascii="Cambria" w:hAnsi="Cambria"/>
      <w:sz w:val="18"/>
      <w:szCs w:val="18"/>
    </w:rPr>
  </w:style>
  <w:style w:type="character" w:customStyle="1" w:styleId="a6">
    <w:name w:val="註解方塊文字 字元"/>
    <w:link w:val="a5"/>
    <w:uiPriority w:val="99"/>
    <w:semiHidden/>
    <w:rsid w:val="00390359"/>
    <w:rPr>
      <w:rFonts w:ascii="Cambria" w:eastAsia="新細明體" w:hAnsi="Cambria" w:cs="Times New Roman"/>
      <w:sz w:val="18"/>
      <w:szCs w:val="18"/>
    </w:rPr>
  </w:style>
  <w:style w:type="character" w:styleId="a7">
    <w:name w:val="Placeholder Text"/>
    <w:uiPriority w:val="99"/>
    <w:semiHidden/>
    <w:rsid w:val="000872BD"/>
    <w:rPr>
      <w:color w:val="808080"/>
    </w:rPr>
  </w:style>
  <w:style w:type="paragraph" w:styleId="a8">
    <w:name w:val="header"/>
    <w:basedOn w:val="a"/>
    <w:link w:val="a9"/>
    <w:uiPriority w:val="99"/>
    <w:unhideWhenUsed/>
    <w:rsid w:val="003C484E"/>
    <w:pPr>
      <w:tabs>
        <w:tab w:val="center" w:pos="4153"/>
        <w:tab w:val="right" w:pos="8306"/>
      </w:tabs>
      <w:snapToGrid w:val="0"/>
    </w:pPr>
    <w:rPr>
      <w:sz w:val="20"/>
      <w:szCs w:val="20"/>
    </w:rPr>
  </w:style>
  <w:style w:type="character" w:customStyle="1" w:styleId="a9">
    <w:name w:val="頁首 字元"/>
    <w:link w:val="a8"/>
    <w:uiPriority w:val="99"/>
    <w:rsid w:val="003C484E"/>
    <w:rPr>
      <w:kern w:val="2"/>
    </w:rPr>
  </w:style>
  <w:style w:type="paragraph" w:styleId="aa">
    <w:name w:val="footer"/>
    <w:basedOn w:val="a"/>
    <w:link w:val="ab"/>
    <w:uiPriority w:val="99"/>
    <w:unhideWhenUsed/>
    <w:rsid w:val="003C484E"/>
    <w:pPr>
      <w:tabs>
        <w:tab w:val="center" w:pos="4153"/>
        <w:tab w:val="right" w:pos="8306"/>
      </w:tabs>
      <w:snapToGrid w:val="0"/>
    </w:pPr>
    <w:rPr>
      <w:sz w:val="20"/>
      <w:szCs w:val="20"/>
    </w:rPr>
  </w:style>
  <w:style w:type="character" w:customStyle="1" w:styleId="ab">
    <w:name w:val="頁尾 字元"/>
    <w:link w:val="aa"/>
    <w:uiPriority w:val="99"/>
    <w:rsid w:val="003C484E"/>
    <w:rPr>
      <w:kern w:val="2"/>
    </w:rPr>
  </w:style>
  <w:style w:type="paragraph" w:styleId="HTML">
    <w:name w:val="HTML Preformatted"/>
    <w:basedOn w:val="a"/>
    <w:link w:val="HTML0"/>
    <w:uiPriority w:val="99"/>
    <w:semiHidden/>
    <w:unhideWhenUsed/>
    <w:rsid w:val="005A53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link w:val="HTML"/>
    <w:uiPriority w:val="99"/>
    <w:semiHidden/>
    <w:rsid w:val="005A531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A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A3F"/>
    <w:pPr>
      <w:ind w:leftChars="200" w:left="480"/>
    </w:pPr>
  </w:style>
  <w:style w:type="table" w:styleId="a4">
    <w:name w:val="Table Grid"/>
    <w:basedOn w:val="a1"/>
    <w:uiPriority w:val="59"/>
    <w:rsid w:val="00C7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0359"/>
    <w:rPr>
      <w:rFonts w:ascii="Cambria" w:hAnsi="Cambria"/>
      <w:sz w:val="18"/>
      <w:szCs w:val="18"/>
    </w:rPr>
  </w:style>
  <w:style w:type="character" w:customStyle="1" w:styleId="a6">
    <w:name w:val="註解方塊文字 字元"/>
    <w:link w:val="a5"/>
    <w:uiPriority w:val="99"/>
    <w:semiHidden/>
    <w:rsid w:val="00390359"/>
    <w:rPr>
      <w:rFonts w:ascii="Cambria" w:eastAsia="新細明體" w:hAnsi="Cambria" w:cs="Times New Roman"/>
      <w:sz w:val="18"/>
      <w:szCs w:val="18"/>
    </w:rPr>
  </w:style>
  <w:style w:type="character" w:styleId="a7">
    <w:name w:val="Placeholder Text"/>
    <w:uiPriority w:val="99"/>
    <w:semiHidden/>
    <w:rsid w:val="000872BD"/>
    <w:rPr>
      <w:color w:val="808080"/>
    </w:rPr>
  </w:style>
  <w:style w:type="paragraph" w:styleId="a8">
    <w:name w:val="header"/>
    <w:basedOn w:val="a"/>
    <w:link w:val="a9"/>
    <w:uiPriority w:val="99"/>
    <w:unhideWhenUsed/>
    <w:rsid w:val="003C484E"/>
    <w:pPr>
      <w:tabs>
        <w:tab w:val="center" w:pos="4153"/>
        <w:tab w:val="right" w:pos="8306"/>
      </w:tabs>
      <w:snapToGrid w:val="0"/>
    </w:pPr>
    <w:rPr>
      <w:sz w:val="20"/>
      <w:szCs w:val="20"/>
    </w:rPr>
  </w:style>
  <w:style w:type="character" w:customStyle="1" w:styleId="a9">
    <w:name w:val="頁首 字元"/>
    <w:link w:val="a8"/>
    <w:uiPriority w:val="99"/>
    <w:rsid w:val="003C484E"/>
    <w:rPr>
      <w:kern w:val="2"/>
    </w:rPr>
  </w:style>
  <w:style w:type="paragraph" w:styleId="aa">
    <w:name w:val="footer"/>
    <w:basedOn w:val="a"/>
    <w:link w:val="ab"/>
    <w:uiPriority w:val="99"/>
    <w:unhideWhenUsed/>
    <w:rsid w:val="003C484E"/>
    <w:pPr>
      <w:tabs>
        <w:tab w:val="center" w:pos="4153"/>
        <w:tab w:val="right" w:pos="8306"/>
      </w:tabs>
      <w:snapToGrid w:val="0"/>
    </w:pPr>
    <w:rPr>
      <w:sz w:val="20"/>
      <w:szCs w:val="20"/>
    </w:rPr>
  </w:style>
  <w:style w:type="character" w:customStyle="1" w:styleId="ab">
    <w:name w:val="頁尾 字元"/>
    <w:link w:val="aa"/>
    <w:uiPriority w:val="99"/>
    <w:rsid w:val="003C484E"/>
    <w:rPr>
      <w:kern w:val="2"/>
    </w:rPr>
  </w:style>
  <w:style w:type="paragraph" w:styleId="HTML">
    <w:name w:val="HTML Preformatted"/>
    <w:basedOn w:val="a"/>
    <w:link w:val="HTML0"/>
    <w:uiPriority w:val="99"/>
    <w:semiHidden/>
    <w:unhideWhenUsed/>
    <w:rsid w:val="005A53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link w:val="HTML"/>
    <w:uiPriority w:val="99"/>
    <w:semiHidden/>
    <w:rsid w:val="005A531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96FA-D193-4F7C-A062-6F4534A4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Acer</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何淑月</cp:lastModifiedBy>
  <cp:revision>2</cp:revision>
  <cp:lastPrinted>2014-10-15T01:25:00Z</cp:lastPrinted>
  <dcterms:created xsi:type="dcterms:W3CDTF">2014-10-28T06:18:00Z</dcterms:created>
  <dcterms:modified xsi:type="dcterms:W3CDTF">2014-10-28T06:18:00Z</dcterms:modified>
</cp:coreProperties>
</file>