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4C" w:rsidRPr="00CD7835" w:rsidRDefault="00DD3E4C" w:rsidP="00DD3E4C">
      <w:pPr>
        <w:spacing w:line="460" w:lineRule="exact"/>
        <w:jc w:val="both"/>
        <w:rPr>
          <w:rFonts w:ascii="標楷體" w:eastAsia="標楷體" w:hAnsi="標楷體"/>
          <w:sz w:val="40"/>
          <w:szCs w:val="40"/>
        </w:rPr>
      </w:pPr>
      <w:bookmarkStart w:id="0" w:name="_GoBack"/>
      <w:bookmarkEnd w:id="0"/>
      <w:r w:rsidRPr="00CD7835">
        <w:rPr>
          <w:rFonts w:ascii="標楷體" w:eastAsia="標楷體" w:hAnsi="標楷體" w:hint="eastAsia"/>
          <w:sz w:val="40"/>
          <w:szCs w:val="40"/>
        </w:rPr>
        <w:t>保險業辦理國外投資管理辦法</w:t>
      </w:r>
      <w:r w:rsidR="004F6A72">
        <w:rPr>
          <w:rFonts w:ascii="標楷體" w:eastAsia="標楷體" w:hAnsi="標楷體" w:hint="eastAsia"/>
          <w:sz w:val="40"/>
          <w:szCs w:val="40"/>
        </w:rPr>
        <w:t>第八</w:t>
      </w:r>
      <w:r w:rsidR="00152397">
        <w:rPr>
          <w:rFonts w:ascii="標楷體" w:eastAsia="標楷體" w:hAnsi="標楷體" w:hint="eastAsia"/>
          <w:sz w:val="40"/>
          <w:szCs w:val="40"/>
        </w:rPr>
        <w:t>條、</w:t>
      </w:r>
      <w:r w:rsidR="00AB264F">
        <w:rPr>
          <w:rFonts w:ascii="標楷體" w:eastAsia="標楷體" w:hAnsi="標楷體" w:hint="eastAsia"/>
          <w:sz w:val="40"/>
          <w:szCs w:val="40"/>
        </w:rPr>
        <w:t>第</w:t>
      </w:r>
      <w:r w:rsidR="004F6A72">
        <w:rPr>
          <w:rFonts w:ascii="標楷體" w:eastAsia="標楷體" w:hAnsi="標楷體" w:hint="eastAsia"/>
          <w:sz w:val="40"/>
          <w:szCs w:val="40"/>
        </w:rPr>
        <w:t>十</w:t>
      </w:r>
      <w:r w:rsidR="00AB264F">
        <w:rPr>
          <w:rFonts w:ascii="標楷體" w:eastAsia="標楷體" w:hAnsi="標楷體" w:hint="eastAsia"/>
          <w:sz w:val="40"/>
          <w:szCs w:val="40"/>
        </w:rPr>
        <w:t>八</w:t>
      </w:r>
      <w:r>
        <w:rPr>
          <w:rFonts w:ascii="標楷體" w:eastAsia="標楷體" w:hAnsi="標楷體" w:hint="eastAsia"/>
          <w:sz w:val="40"/>
          <w:szCs w:val="40"/>
        </w:rPr>
        <w:t>條</w:t>
      </w:r>
      <w:r w:rsidRPr="00CD7835">
        <w:rPr>
          <w:rFonts w:ascii="標楷體" w:eastAsia="標楷體" w:hAnsi="標楷體" w:hint="eastAsia"/>
          <w:sz w:val="40"/>
          <w:szCs w:val="40"/>
        </w:rPr>
        <w:t>修正條文對照表</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977"/>
      </w:tblGrid>
      <w:tr w:rsidR="00DD3E4C" w:rsidRPr="00201C06" w:rsidTr="00601A80">
        <w:tc>
          <w:tcPr>
            <w:tcW w:w="3403" w:type="dxa"/>
          </w:tcPr>
          <w:p w:rsidR="00DD3E4C" w:rsidRPr="00CD7835" w:rsidRDefault="00DD3E4C" w:rsidP="00DB35AC">
            <w:pPr>
              <w:ind w:leftChars="-45" w:left="-108" w:firstLineChars="45" w:firstLine="108"/>
              <w:jc w:val="center"/>
              <w:rPr>
                <w:rFonts w:ascii="標楷體" w:eastAsia="標楷體" w:hAnsi="標楷體"/>
              </w:rPr>
            </w:pPr>
            <w:r w:rsidRPr="00CD7835">
              <w:rPr>
                <w:rFonts w:ascii="標楷體" w:eastAsia="標楷體" w:hAnsi="標楷體" w:hint="eastAsia"/>
              </w:rPr>
              <w:t>修正條文</w:t>
            </w:r>
          </w:p>
        </w:tc>
        <w:tc>
          <w:tcPr>
            <w:tcW w:w="3260"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現行條文</w:t>
            </w:r>
          </w:p>
        </w:tc>
        <w:tc>
          <w:tcPr>
            <w:tcW w:w="2977"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說      明</w:t>
            </w:r>
          </w:p>
        </w:tc>
      </w:tr>
      <w:tr w:rsidR="00564991" w:rsidRPr="00201C06" w:rsidTr="00601A80">
        <w:tc>
          <w:tcPr>
            <w:tcW w:w="3403" w:type="dxa"/>
          </w:tcPr>
          <w:p w:rsidR="00564991" w:rsidRPr="008E265F" w:rsidRDefault="00564991" w:rsidP="007238FB">
            <w:pPr>
              <w:pStyle w:val="HTML"/>
              <w:rPr>
                <w:rFonts w:ascii="標楷體" w:eastAsia="標楷體" w:hAnsi="標楷體"/>
              </w:rPr>
            </w:pPr>
            <w:r>
              <w:rPr>
                <w:rFonts w:ascii="標楷體" w:eastAsia="標楷體" w:hAnsi="標楷體" w:hint="eastAsia"/>
              </w:rPr>
              <w:t xml:space="preserve">第八條  </w:t>
            </w:r>
            <w:r w:rsidRPr="008E265F">
              <w:rPr>
                <w:rFonts w:ascii="標楷體" w:eastAsia="標楷體" w:hAnsi="標楷體"/>
              </w:rPr>
              <w:t>第五條第六款所稱國外表彰基金之有價證券種類如下：</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一、證券投資基金。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二、指數型基金。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三、指數股票型基金（ETF ）。</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四、不動產投資信託基金。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五、對沖基金。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六、私募股權基金。</w:t>
            </w:r>
            <w:r>
              <w:rPr>
                <w:rFonts w:ascii="標楷體" w:eastAsia="標楷體" w:hAnsi="標楷體" w:cs="細明體" w:hint="eastAsia"/>
                <w:kern w:val="0"/>
                <w:szCs w:val="24"/>
              </w:rPr>
              <w:t xml:space="preserve"> </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七、基礎建設基金。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八、商品基金。</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國外表彰基金之有價證券總額，不得超過其依本法第一百四十六條之四核定國外投資總額之百分之四十。其投資於前項第一款至第四款、第七款及第八款之每一國外基金之總額，不得超過該保險業資金百分之五及該基金已發行總額百分之十。</w:t>
            </w:r>
          </w:p>
          <w:p w:rsidR="00564991" w:rsidRPr="008E265F" w:rsidRDefault="00564991" w:rsidP="00881E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保險業投資於第一項第五款及第六款對沖基金及私募股權基金之投資限額及條件如下：</w:t>
            </w:r>
          </w:p>
          <w:p w:rsidR="00564991" w:rsidRDefault="00564991" w:rsidP="007C1306">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jc w:val="both"/>
              <w:rPr>
                <w:rFonts w:ascii="標楷體" w:eastAsia="標楷體" w:hAnsi="標楷體" w:cs="細明體"/>
                <w:kern w:val="0"/>
                <w:szCs w:val="24"/>
              </w:rPr>
            </w:pPr>
            <w:r w:rsidRPr="007238FB">
              <w:rPr>
                <w:rFonts w:ascii="標楷體" w:eastAsia="標楷體" w:hAnsi="標楷體" w:cs="細明體"/>
                <w:kern w:val="0"/>
                <w:szCs w:val="24"/>
              </w:rPr>
              <w:t>投資總額不得超過該保險業可運用資金之百分之二，且其單一基金投資總額不得超過該基金已發行總額百分之十。</w:t>
            </w:r>
          </w:p>
          <w:p w:rsidR="00400AFF" w:rsidRPr="007C1306" w:rsidRDefault="00564991" w:rsidP="007C1306">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jc w:val="both"/>
              <w:rPr>
                <w:rFonts w:ascii="標楷體" w:eastAsia="標楷體" w:hAnsi="標楷體" w:cs="細明體"/>
                <w:kern w:val="0"/>
                <w:szCs w:val="24"/>
              </w:rPr>
            </w:pPr>
            <w:r w:rsidRPr="007C1306">
              <w:rPr>
                <w:rFonts w:ascii="標楷體" w:eastAsia="標楷體" w:hAnsi="標楷體" w:cs="細明體"/>
                <w:kern w:val="0"/>
                <w:szCs w:val="24"/>
              </w:rPr>
              <w:t>單一基金投資總額超過該保險業可運用資金萬分之五以上者，應提報該保險業董事會通過</w:t>
            </w:r>
            <w:r w:rsidRPr="007C1306">
              <w:rPr>
                <w:rFonts w:ascii="標楷體" w:eastAsia="標楷體" w:hAnsi="標楷體" w:cs="細明體" w:hint="eastAsia"/>
                <w:kern w:val="0"/>
                <w:szCs w:val="24"/>
              </w:rPr>
              <w:t>後始</w:t>
            </w:r>
            <w:r w:rsidRPr="007C1306">
              <w:rPr>
                <w:rFonts w:ascii="標楷體" w:eastAsia="標楷體" w:hAnsi="標楷體" w:cs="細明體"/>
                <w:kern w:val="0"/>
                <w:szCs w:val="24"/>
              </w:rPr>
              <w:t>得投資。但計算前述單一投資總額未達新臺幣一億元</w:t>
            </w:r>
            <w:r w:rsidRPr="007C1306">
              <w:rPr>
                <w:rFonts w:ascii="標楷體" w:eastAsia="標楷體" w:hAnsi="標楷體" w:cs="細明體"/>
                <w:kern w:val="0"/>
                <w:szCs w:val="24"/>
              </w:rPr>
              <w:lastRenderedPageBreak/>
              <w:t>者，得以新臺幣一億元計。</w:t>
            </w:r>
          </w:p>
          <w:p w:rsidR="00564991" w:rsidRPr="00400AFF" w:rsidRDefault="00564991" w:rsidP="00400AFF">
            <w:pPr>
              <w:pStyle w:val="a7"/>
              <w:widowControl/>
              <w:numPr>
                <w:ilvl w:val="0"/>
                <w:numId w:val="3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3" w:left="461" w:hangingChars="235" w:hanging="564"/>
              <w:rPr>
                <w:rFonts w:ascii="標楷體" w:eastAsia="標楷體" w:hAnsi="標楷體" w:cs="細明體"/>
                <w:kern w:val="0"/>
                <w:szCs w:val="24"/>
              </w:rPr>
            </w:pPr>
            <w:r w:rsidRPr="00400AFF">
              <w:rPr>
                <w:rFonts w:ascii="標楷體" w:eastAsia="標楷體" w:hAnsi="標楷體" w:cs="細明體"/>
                <w:kern w:val="0"/>
                <w:szCs w:val="24"/>
              </w:rPr>
              <w:t>對沖基金之基金經理公司須以在經濟合作暨發展組織國家主管機關註冊者為限，且管理對沖基金歷史須滿二年以上，管理對沖基金之資產不得少於美金二億元或等值外幣。</w:t>
            </w:r>
          </w:p>
          <w:p w:rsidR="00564991" w:rsidRPr="007238FB" w:rsidRDefault="00564991" w:rsidP="007238FB">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2" w:hangingChars="209" w:hanging="502"/>
              <w:rPr>
                <w:rFonts w:ascii="標楷體" w:eastAsia="標楷體" w:hAnsi="標楷體" w:cs="細明體"/>
                <w:kern w:val="0"/>
                <w:szCs w:val="24"/>
                <w:u w:val="single"/>
              </w:rPr>
            </w:pPr>
            <w:r w:rsidRPr="007238FB">
              <w:rPr>
                <w:rFonts w:ascii="標楷體" w:eastAsia="標楷體" w:hAnsi="標楷體" w:cs="細明體"/>
                <w:kern w:val="0"/>
                <w:szCs w:val="24"/>
              </w:rPr>
              <w:t>私募股權基金之</w:t>
            </w:r>
            <w:r w:rsidRPr="004F6A72">
              <w:rPr>
                <w:rFonts w:ascii="標楷體" w:eastAsia="標楷體" w:hAnsi="標楷體" w:cs="細明體"/>
                <w:kern w:val="0"/>
                <w:szCs w:val="24"/>
              </w:rPr>
              <w:t>基金</w:t>
            </w:r>
            <w:r w:rsidRPr="004F6A72">
              <w:rPr>
                <w:rFonts w:ascii="標楷體" w:eastAsia="標楷體" w:hAnsi="標楷體" w:cs="細明體" w:hint="eastAsia"/>
                <w:kern w:val="0"/>
                <w:szCs w:val="24"/>
                <w:u w:val="single"/>
              </w:rPr>
              <w:t>管理機構</w:t>
            </w:r>
            <w:r w:rsidRPr="007238FB">
              <w:rPr>
                <w:rFonts w:ascii="標楷體" w:eastAsia="標楷體" w:hAnsi="標楷體" w:cs="細明體"/>
                <w:kern w:val="0"/>
                <w:szCs w:val="24"/>
              </w:rPr>
              <w:t>須以在經濟合作暨發展組織國家主管機</w:t>
            </w:r>
            <w:r w:rsidRPr="008E265F">
              <w:rPr>
                <w:rFonts w:ascii="標楷體" w:eastAsia="標楷體" w:hAnsi="標楷體" w:cs="細明體"/>
                <w:kern w:val="0"/>
                <w:szCs w:val="24"/>
              </w:rPr>
              <w:t>關合法註冊者為限，且管理私募股權基金歷史須滿五年以上，管理私募股權基金之資產不得少於美金五億元或等值外幣。</w:t>
            </w:r>
            <w:r w:rsidR="00D34090">
              <w:rPr>
                <w:rFonts w:ascii="標楷體" w:eastAsia="標楷體" w:hAnsi="標楷體" w:cs="細明體" w:hint="eastAsia"/>
                <w:kern w:val="0"/>
                <w:szCs w:val="24"/>
                <w:u w:val="single"/>
              </w:rPr>
              <w:t>但</w:t>
            </w:r>
            <w:r w:rsidRPr="007238FB">
              <w:rPr>
                <w:rFonts w:ascii="標楷體" w:eastAsia="標楷體" w:hAnsi="標楷體" w:cs="細明體" w:hint="eastAsia"/>
                <w:kern w:val="0"/>
                <w:szCs w:val="24"/>
                <w:u w:val="single"/>
              </w:rPr>
              <w:t>下</w:t>
            </w:r>
            <w:r w:rsidR="0075594C">
              <w:rPr>
                <w:rFonts w:ascii="標楷體" w:eastAsia="標楷體" w:hAnsi="標楷體" w:cs="細明體" w:hint="eastAsia"/>
                <w:kern w:val="0"/>
                <w:szCs w:val="24"/>
                <w:u w:val="single"/>
              </w:rPr>
              <w:t>列</w:t>
            </w:r>
            <w:r w:rsidRPr="007238FB">
              <w:rPr>
                <w:rFonts w:ascii="標楷體" w:eastAsia="標楷體" w:hAnsi="標楷體" w:cs="細明體" w:hint="eastAsia"/>
                <w:kern w:val="0"/>
                <w:szCs w:val="24"/>
                <w:u w:val="single"/>
              </w:rPr>
              <w:t>情形不在此限：</w:t>
            </w:r>
          </w:p>
          <w:p w:rsidR="00564991" w:rsidRPr="00AA0084" w:rsidRDefault="00564991" w:rsidP="007238FB">
            <w:pPr>
              <w:pStyle w:val="a7"/>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u w:val="single"/>
              </w:rPr>
            </w:pPr>
            <w:r w:rsidRPr="004F6A72">
              <w:rPr>
                <w:rFonts w:ascii="標楷體" w:eastAsia="標楷體" w:hAnsi="標楷體" w:cs="細明體"/>
                <w:kern w:val="0"/>
                <w:szCs w:val="24"/>
                <w:u w:val="single"/>
              </w:rPr>
              <w:t>基金</w:t>
            </w:r>
            <w:r w:rsidRPr="004F6A72">
              <w:rPr>
                <w:rFonts w:ascii="標楷體" w:eastAsia="標楷體" w:hAnsi="標楷體" w:cs="細明體" w:hint="eastAsia"/>
                <w:kern w:val="0"/>
                <w:szCs w:val="24"/>
                <w:u w:val="single"/>
              </w:rPr>
              <w:t>管理機構係</w:t>
            </w:r>
            <w:r>
              <w:rPr>
                <w:rFonts w:ascii="標楷體" w:eastAsia="標楷體" w:hAnsi="標楷體" w:cs="細明體" w:hint="eastAsia"/>
                <w:kern w:val="0"/>
                <w:szCs w:val="24"/>
                <w:u w:val="single"/>
              </w:rPr>
              <w:t>經主管機關</w:t>
            </w:r>
            <w:r w:rsidRPr="007238FB">
              <w:rPr>
                <w:rFonts w:ascii="標楷體" w:eastAsia="標楷體" w:hAnsi="標楷體" w:cs="細明體" w:hint="eastAsia"/>
                <w:kern w:val="0"/>
                <w:szCs w:val="24"/>
                <w:u w:val="single"/>
              </w:rPr>
              <w:t>核准直接或間接於境外合法註冊，得從事基金管理業務之金</w:t>
            </w:r>
            <w:r>
              <w:rPr>
                <w:rFonts w:ascii="標楷體" w:eastAsia="標楷體" w:hAnsi="標楷體" w:cs="細明體" w:hint="eastAsia"/>
                <w:kern w:val="0"/>
                <w:szCs w:val="24"/>
                <w:u w:val="single"/>
              </w:rPr>
              <w:t>融</w:t>
            </w:r>
            <w:r w:rsidRPr="007238FB">
              <w:rPr>
                <w:rFonts w:ascii="標楷體" w:eastAsia="標楷體" w:hAnsi="標楷體" w:cs="細明體" w:hint="eastAsia"/>
                <w:kern w:val="0"/>
                <w:szCs w:val="24"/>
                <w:u w:val="single"/>
              </w:rPr>
              <w:t>控</w:t>
            </w:r>
            <w:r>
              <w:rPr>
                <w:rFonts w:ascii="標楷體" w:eastAsia="標楷體" w:hAnsi="標楷體" w:cs="細明體" w:hint="eastAsia"/>
                <w:kern w:val="0"/>
                <w:szCs w:val="24"/>
                <w:u w:val="single"/>
              </w:rPr>
              <w:t>股公司之</w:t>
            </w:r>
            <w:r w:rsidRPr="007238FB">
              <w:rPr>
                <w:rFonts w:ascii="標楷體" w:eastAsia="標楷體" w:hAnsi="標楷體" w:cs="細明體" w:hint="eastAsia"/>
                <w:kern w:val="0"/>
                <w:szCs w:val="24"/>
                <w:u w:val="single"/>
              </w:rPr>
              <w:t>投資事業</w:t>
            </w:r>
            <w:r w:rsidRPr="00C5575C">
              <w:rPr>
                <w:rFonts w:ascii="標楷體" w:eastAsia="標楷體" w:hAnsi="標楷體" w:cs="細明體" w:hint="eastAsia"/>
                <w:kern w:val="0"/>
                <w:szCs w:val="24"/>
              </w:rPr>
              <w:t>。</w:t>
            </w:r>
          </w:p>
          <w:p w:rsidR="00AA0084" w:rsidRPr="00AA0084" w:rsidRDefault="00AA0084" w:rsidP="00AA0084">
            <w:pPr>
              <w:pStyle w:val="a7"/>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u w:val="single"/>
              </w:rPr>
            </w:pPr>
            <w:r w:rsidRPr="00AA0084">
              <w:rPr>
                <w:rFonts w:eastAsia="標楷體"/>
                <w:u w:val="single"/>
              </w:rPr>
              <w:t>基金管理機構係於我國境內合法設立</w:t>
            </w:r>
            <w:r w:rsidRPr="00AA0084">
              <w:rPr>
                <w:rFonts w:eastAsia="標楷體" w:hint="eastAsia"/>
                <w:u w:val="single"/>
              </w:rPr>
              <w:t>，其所管理</w:t>
            </w:r>
            <w:r w:rsidR="00A675B2">
              <w:rPr>
                <w:rFonts w:eastAsia="標楷體" w:hint="eastAsia"/>
                <w:u w:val="single"/>
              </w:rPr>
              <w:t>我國境內</w:t>
            </w:r>
            <w:r w:rsidRPr="00AA0084">
              <w:rPr>
                <w:rFonts w:eastAsia="標楷體" w:hint="eastAsia"/>
                <w:u w:val="single"/>
              </w:rPr>
              <w:t>之全部或部分創業投資事業已</w:t>
            </w:r>
            <w:r w:rsidRPr="00AA0084">
              <w:rPr>
                <w:rFonts w:eastAsia="標楷體"/>
                <w:u w:val="single"/>
              </w:rPr>
              <w:t>取得創業投資事業中央主管機關之推薦函</w:t>
            </w:r>
            <w:r w:rsidRPr="00AA0084">
              <w:rPr>
                <w:rFonts w:ascii="標楷體" w:eastAsia="標楷體" w:hAnsi="標楷體" w:cs="細明體" w:hint="eastAsia"/>
                <w:kern w:val="0"/>
                <w:szCs w:val="24"/>
                <w:u w:val="single"/>
              </w:rPr>
              <w:t>，且其所管理境外合法註冊之私募股權基金之資產不少於美金一億元或等值外幣</w:t>
            </w:r>
            <w:r w:rsidRPr="00AA0084">
              <w:rPr>
                <w:rFonts w:ascii="標楷體" w:eastAsia="標楷體" w:hAnsi="標楷體" w:cs="細明體" w:hint="eastAsia"/>
                <w:kern w:val="0"/>
                <w:szCs w:val="24"/>
              </w:rPr>
              <w:t>。</w:t>
            </w:r>
            <w:r w:rsidR="00564991" w:rsidRPr="00AA0084">
              <w:rPr>
                <w:rFonts w:ascii="標楷體" w:eastAsia="標楷體" w:hAnsi="標楷體" w:cs="細明體" w:hint="eastAsia"/>
                <w:kern w:val="0"/>
                <w:szCs w:val="24"/>
              </w:rPr>
              <w:t xml:space="preserve">    </w:t>
            </w:r>
          </w:p>
          <w:p w:rsidR="00564991" w:rsidRPr="00AA0084" w:rsidRDefault="00AA0084" w:rsidP="00AA0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u w:val="single"/>
              </w:rPr>
            </w:pPr>
            <w:r>
              <w:rPr>
                <w:rFonts w:ascii="標楷體" w:eastAsia="標楷體" w:hAnsi="標楷體" w:cs="細明體" w:hint="eastAsia"/>
                <w:kern w:val="0"/>
                <w:szCs w:val="24"/>
              </w:rPr>
              <w:t xml:space="preserve">    </w:t>
            </w:r>
            <w:r w:rsidR="00564991" w:rsidRPr="00AA0084">
              <w:rPr>
                <w:rFonts w:ascii="標楷體" w:eastAsia="標楷體" w:hAnsi="標楷體" w:cs="細明體"/>
                <w:kern w:val="0"/>
                <w:szCs w:val="24"/>
              </w:rPr>
              <w:t>保險業投資於以第一項各款基金為投資標的之組合型基金，其投資條件及限額應依各類基金之規定辦理。</w:t>
            </w:r>
          </w:p>
          <w:p w:rsidR="00564991" w:rsidRPr="008E265F" w:rsidRDefault="00564991" w:rsidP="0072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第一項第二款所稱之指數型基金，其追蹤之指數由主管</w:t>
            </w:r>
            <w:r w:rsidRPr="008E265F">
              <w:rPr>
                <w:rFonts w:ascii="標楷體" w:eastAsia="標楷體" w:hAnsi="標楷體" w:cs="細明體"/>
                <w:kern w:val="0"/>
                <w:szCs w:val="24"/>
              </w:rPr>
              <w:lastRenderedPageBreak/>
              <w:t>機關公告之。</w:t>
            </w:r>
          </w:p>
          <w:p w:rsidR="00564991" w:rsidRPr="00BF1D94" w:rsidRDefault="00564991" w:rsidP="008E265F">
            <w:pPr>
              <w:tabs>
                <w:tab w:val="left" w:pos="850"/>
              </w:tabs>
              <w:jc w:val="both"/>
              <w:rPr>
                <w:rFonts w:ascii="標楷體" w:eastAsia="標楷體" w:hAnsi="標楷體"/>
                <w:bCs/>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保險業投資於第一項第五款至第八款之投資金額及條件，應符合第十七條之規定</w:t>
            </w:r>
            <w:r w:rsidRPr="008E265F">
              <w:rPr>
                <w:rFonts w:ascii="標楷體" w:eastAsia="標楷體" w:hAnsi="標楷體" w:cs="細明體" w:hint="eastAsia"/>
                <w:kern w:val="0"/>
                <w:szCs w:val="24"/>
              </w:rPr>
              <w:t>。</w:t>
            </w:r>
          </w:p>
        </w:tc>
        <w:tc>
          <w:tcPr>
            <w:tcW w:w="3260" w:type="dxa"/>
          </w:tcPr>
          <w:p w:rsidR="00564991" w:rsidRPr="008E265F" w:rsidRDefault="00564991" w:rsidP="008E265F">
            <w:pPr>
              <w:pStyle w:val="HTML"/>
              <w:rPr>
                <w:rFonts w:ascii="標楷體" w:eastAsia="標楷體" w:hAnsi="標楷體"/>
              </w:rPr>
            </w:pPr>
            <w:r>
              <w:rPr>
                <w:rFonts w:ascii="標楷體" w:eastAsia="標楷體" w:hAnsi="標楷體" w:hint="eastAsia"/>
              </w:rPr>
              <w:lastRenderedPageBreak/>
              <w:t xml:space="preserve">第八條  </w:t>
            </w:r>
            <w:r w:rsidRPr="008E265F">
              <w:rPr>
                <w:rFonts w:ascii="標楷體" w:eastAsia="標楷體" w:hAnsi="標楷體"/>
              </w:rPr>
              <w:t>第五條第六款所稱國外表彰基金之有價證券種類如下：</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一、證券投資基金。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二、指數型基金。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三、指數股票型基金（ETF ）。</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四、不動產投資信託基金。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五、對沖基金。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六、私募股權基金。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七、基礎建設基金。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8E265F">
              <w:rPr>
                <w:rFonts w:ascii="標楷體" w:eastAsia="標楷體" w:hAnsi="標楷體" w:cs="細明體"/>
                <w:kern w:val="0"/>
                <w:szCs w:val="24"/>
              </w:rPr>
              <w:t>八、商品基金。</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國外表彰基金之有價證券總額，不得超過其依本法第一百四十六條之四核定國外投資總額之百分之四十。其投資於前項第一款至第四款、第七款及第八款之每一國外基金之總額，不得超過該保險業資金百分之五及該基金已發行總額百分之十。</w:t>
            </w:r>
          </w:p>
          <w:p w:rsidR="00564991" w:rsidRPr="008E265F" w:rsidRDefault="00564991" w:rsidP="008E2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保險業投資於第一項第五款及第六款對沖基金及私募股權基金之投資限額及條件如下：</w:t>
            </w:r>
          </w:p>
          <w:p w:rsidR="00564991" w:rsidRDefault="00564991" w:rsidP="007C1306">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jc w:val="both"/>
              <w:rPr>
                <w:rFonts w:ascii="標楷體" w:eastAsia="標楷體" w:hAnsi="標楷體" w:cs="細明體"/>
                <w:kern w:val="0"/>
                <w:szCs w:val="24"/>
              </w:rPr>
            </w:pPr>
            <w:r w:rsidRPr="007238FB">
              <w:rPr>
                <w:rFonts w:ascii="標楷體" w:eastAsia="標楷體" w:hAnsi="標楷體" w:cs="細明體"/>
                <w:kern w:val="0"/>
                <w:szCs w:val="24"/>
              </w:rPr>
              <w:t>投資總額不得超過該保險業可運用資金之百分之二，且其單一基金投資總額不得超過該基金已發行總額百分之十。</w:t>
            </w:r>
          </w:p>
          <w:p w:rsidR="00564991" w:rsidRPr="007C1306" w:rsidRDefault="00564991" w:rsidP="007C1306">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jc w:val="both"/>
              <w:rPr>
                <w:rFonts w:ascii="標楷體" w:eastAsia="標楷體" w:hAnsi="標楷體" w:cs="細明體"/>
                <w:kern w:val="0"/>
                <w:szCs w:val="24"/>
              </w:rPr>
            </w:pPr>
            <w:r w:rsidRPr="007C1306">
              <w:rPr>
                <w:rFonts w:ascii="標楷體" w:eastAsia="標楷體" w:hAnsi="標楷體" w:cs="細明體"/>
                <w:kern w:val="0"/>
                <w:szCs w:val="24"/>
              </w:rPr>
              <w:t>單一基金投資總額超過該保險業可運用資金萬分之五以上者，應提報該保險業董事會通過</w:t>
            </w:r>
            <w:r w:rsidRPr="007C1306">
              <w:rPr>
                <w:rFonts w:ascii="標楷體" w:eastAsia="標楷體" w:hAnsi="標楷體" w:cs="細明體" w:hint="eastAsia"/>
                <w:kern w:val="0"/>
                <w:szCs w:val="24"/>
              </w:rPr>
              <w:t>後始</w:t>
            </w:r>
            <w:r w:rsidRPr="007C1306">
              <w:rPr>
                <w:rFonts w:ascii="標楷體" w:eastAsia="標楷體" w:hAnsi="標楷體" w:cs="細明體"/>
                <w:kern w:val="0"/>
                <w:szCs w:val="24"/>
              </w:rPr>
              <w:t>得投資。但計算前述單一</w:t>
            </w:r>
            <w:r w:rsidRPr="007C1306">
              <w:rPr>
                <w:rFonts w:ascii="標楷體" w:eastAsia="標楷體" w:hAnsi="標楷體" w:cs="細明體"/>
                <w:kern w:val="0"/>
                <w:szCs w:val="24"/>
              </w:rPr>
              <w:lastRenderedPageBreak/>
              <w:t>投資總額未達新臺幣一億元者，得以新臺幣一億元計。</w:t>
            </w:r>
          </w:p>
          <w:p w:rsidR="00564991" w:rsidRPr="00AE16DF" w:rsidRDefault="00564991" w:rsidP="00AE16DF">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jc w:val="both"/>
              <w:rPr>
                <w:rFonts w:ascii="標楷體" w:eastAsia="標楷體" w:hAnsi="標楷體" w:cs="細明體"/>
                <w:kern w:val="0"/>
                <w:szCs w:val="24"/>
              </w:rPr>
            </w:pPr>
            <w:r w:rsidRPr="00AE16DF">
              <w:rPr>
                <w:rFonts w:ascii="標楷體" w:eastAsia="標楷體" w:hAnsi="標楷體" w:cs="細明體"/>
                <w:kern w:val="0"/>
                <w:szCs w:val="24"/>
              </w:rPr>
              <w:t>對沖基金之基金經理公司須以在經濟合作暨發展組織國家主管機關註冊者為限，且管理對沖基金歷史須滿二年以上，管理對沖基金之資產不得少於美金二億元或等值外幣。</w:t>
            </w:r>
          </w:p>
          <w:p w:rsidR="00564991" w:rsidRPr="007238FB" w:rsidRDefault="00564991" w:rsidP="007238FB">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16" w:hanging="516"/>
              <w:rPr>
                <w:rFonts w:ascii="標楷體" w:eastAsia="標楷體" w:hAnsi="標楷體" w:cs="細明體"/>
                <w:kern w:val="0"/>
                <w:szCs w:val="24"/>
              </w:rPr>
            </w:pPr>
            <w:r w:rsidRPr="007238FB">
              <w:rPr>
                <w:rFonts w:ascii="標楷體" w:eastAsia="標楷體" w:hAnsi="標楷體" w:cs="細明體"/>
                <w:kern w:val="0"/>
                <w:szCs w:val="24"/>
              </w:rPr>
              <w:t>私募股權基金之基金</w:t>
            </w:r>
            <w:r w:rsidRPr="007315BF">
              <w:rPr>
                <w:rFonts w:ascii="標楷體" w:eastAsia="標楷體" w:hAnsi="標楷體" w:cs="細明體"/>
                <w:kern w:val="0"/>
                <w:szCs w:val="24"/>
                <w:u w:val="single"/>
              </w:rPr>
              <w:t>經理公司</w:t>
            </w:r>
            <w:r w:rsidRPr="007238FB">
              <w:rPr>
                <w:rFonts w:ascii="標楷體" w:eastAsia="標楷體" w:hAnsi="標楷體" w:cs="細明體"/>
                <w:kern w:val="0"/>
                <w:szCs w:val="24"/>
              </w:rPr>
              <w:t>須以在經濟合作暨發展組織國家主管機</w:t>
            </w:r>
          </w:p>
          <w:p w:rsidR="00564991" w:rsidRPr="008E265F" w:rsidRDefault="00564991" w:rsidP="00AE1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hangingChars="209" w:hanging="502"/>
              <w:jc w:val="both"/>
              <w:rPr>
                <w:rFonts w:ascii="標楷體" w:eastAsia="標楷體" w:hAnsi="標楷體" w:cs="細明體"/>
                <w:kern w:val="0"/>
                <w:szCs w:val="24"/>
              </w:rPr>
            </w:pPr>
            <w:r w:rsidRPr="008E265F">
              <w:rPr>
                <w:rFonts w:ascii="標楷體" w:eastAsia="標楷體" w:hAnsi="標楷體" w:cs="細明體"/>
                <w:kern w:val="0"/>
                <w:szCs w:val="24"/>
              </w:rPr>
              <w:t xml:space="preserve">    關合法註冊者為限，且管理私募股權基金歷史須滿五年以上，管理私募股權基金之資產不得少於美金五億元或等值外幣。</w:t>
            </w:r>
          </w:p>
          <w:p w:rsidR="00564991" w:rsidRPr="008E265F" w:rsidRDefault="00564991" w:rsidP="00AE1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保險業投資於以第一項各款基金為投資標的之組合型基金，其投資條件及限額應依各類基金之規定辦理。</w:t>
            </w:r>
          </w:p>
          <w:p w:rsidR="00564991" w:rsidRPr="008E265F" w:rsidRDefault="00564991" w:rsidP="00AE1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第一項第二款所稱之指數型基金，其追蹤之指數由主管機關公告之。</w:t>
            </w:r>
          </w:p>
          <w:p w:rsidR="00564991" w:rsidRPr="00F110B9" w:rsidRDefault="00564991" w:rsidP="00AE16DF">
            <w:pPr>
              <w:pStyle w:val="a7"/>
              <w:ind w:leftChars="0" w:left="0"/>
              <w:jc w:val="both"/>
              <w:rPr>
                <w:rFonts w:ascii="標楷體" w:eastAsia="標楷體" w:hAnsi="標楷體"/>
                <w:bCs/>
              </w:rPr>
            </w:pPr>
            <w:r>
              <w:rPr>
                <w:rFonts w:ascii="標楷體" w:eastAsia="標楷體" w:hAnsi="標楷體" w:cs="細明體" w:hint="eastAsia"/>
                <w:kern w:val="0"/>
                <w:szCs w:val="24"/>
              </w:rPr>
              <w:t xml:space="preserve">    </w:t>
            </w:r>
            <w:r w:rsidRPr="008E265F">
              <w:rPr>
                <w:rFonts w:ascii="標楷體" w:eastAsia="標楷體" w:hAnsi="標楷體" w:cs="細明體"/>
                <w:kern w:val="0"/>
                <w:szCs w:val="24"/>
              </w:rPr>
              <w:t>保險業投資於第一項第五款至第八款之投資金額及條件，應符合第十七條之規定</w:t>
            </w:r>
            <w:r w:rsidRPr="008E265F">
              <w:rPr>
                <w:rFonts w:ascii="標楷體" w:eastAsia="標楷體" w:hAnsi="標楷體" w:cs="細明體" w:hint="eastAsia"/>
                <w:kern w:val="0"/>
                <w:szCs w:val="24"/>
              </w:rPr>
              <w:t>。</w:t>
            </w:r>
          </w:p>
        </w:tc>
        <w:tc>
          <w:tcPr>
            <w:tcW w:w="2977" w:type="dxa"/>
          </w:tcPr>
          <w:p w:rsidR="00564991" w:rsidRDefault="00564991" w:rsidP="007315BF">
            <w:pPr>
              <w:pStyle w:val="a7"/>
              <w:numPr>
                <w:ilvl w:val="0"/>
                <w:numId w:val="42"/>
              </w:numPr>
              <w:ind w:leftChars="0" w:left="545" w:hanging="545"/>
              <w:jc w:val="both"/>
              <w:rPr>
                <w:rFonts w:ascii="標楷體" w:eastAsia="標楷體" w:hAnsi="標楷體" w:cs="細明體"/>
                <w:kern w:val="0"/>
                <w:szCs w:val="24"/>
              </w:rPr>
            </w:pPr>
            <w:r w:rsidRPr="008573C7">
              <w:rPr>
                <w:rFonts w:ascii="標楷體" w:eastAsia="標楷體" w:hAnsi="標楷體" w:hint="eastAsia"/>
              </w:rPr>
              <w:lastRenderedPageBreak/>
              <w:t>考量實務上私募股權基金管理機構</w:t>
            </w:r>
            <w:r w:rsidR="00B51101">
              <w:rPr>
                <w:rFonts w:ascii="標楷體" w:eastAsia="標楷體" w:hAnsi="標楷體" w:hint="eastAsia"/>
              </w:rPr>
              <w:t>可能</w:t>
            </w:r>
            <w:r w:rsidRPr="008573C7">
              <w:rPr>
                <w:rFonts w:ascii="標楷體" w:eastAsia="標楷體" w:hAnsi="標楷體" w:hint="eastAsia"/>
              </w:rPr>
              <w:t>以</w:t>
            </w:r>
            <w:r w:rsidR="00B51101">
              <w:rPr>
                <w:rFonts w:ascii="標楷體" w:eastAsia="標楷體" w:hAnsi="標楷體" w:hint="eastAsia"/>
              </w:rPr>
              <w:t>有限合夥組織等</w:t>
            </w:r>
            <w:r w:rsidRPr="008573C7">
              <w:rPr>
                <w:rFonts w:ascii="標楷體" w:eastAsia="標楷體" w:hAnsi="標楷體" w:hint="eastAsia"/>
              </w:rPr>
              <w:t>公司</w:t>
            </w:r>
            <w:r w:rsidR="000B3400">
              <w:rPr>
                <w:rFonts w:ascii="標楷體" w:eastAsia="標楷體" w:hAnsi="標楷體" w:hint="eastAsia"/>
              </w:rPr>
              <w:t>以外之其他形</w:t>
            </w:r>
            <w:r w:rsidR="00B51101">
              <w:rPr>
                <w:rFonts w:ascii="標楷體" w:eastAsia="標楷體" w:hAnsi="標楷體" w:hint="eastAsia"/>
              </w:rPr>
              <w:t>式存在</w:t>
            </w:r>
            <w:r w:rsidRPr="008573C7">
              <w:rPr>
                <w:rFonts w:ascii="標楷體" w:eastAsia="標楷體" w:hAnsi="標楷體" w:hint="eastAsia"/>
              </w:rPr>
              <w:t>，爰將第三項第四款</w:t>
            </w:r>
            <w:r w:rsidRPr="008573C7">
              <w:rPr>
                <w:rFonts w:ascii="標楷體" w:eastAsia="標楷體" w:hAnsi="標楷體" w:cs="細明體"/>
                <w:kern w:val="0"/>
                <w:szCs w:val="24"/>
              </w:rPr>
              <w:t>基金經理公司</w:t>
            </w:r>
            <w:r w:rsidRPr="008573C7">
              <w:rPr>
                <w:rFonts w:ascii="標楷體" w:eastAsia="標楷體" w:hAnsi="標楷體" w:cs="細明體" w:hint="eastAsia"/>
                <w:kern w:val="0"/>
                <w:szCs w:val="24"/>
              </w:rPr>
              <w:t>修正為基金管理機構。</w:t>
            </w:r>
          </w:p>
          <w:p w:rsidR="00564991" w:rsidRPr="003F79AA" w:rsidRDefault="00564991" w:rsidP="00380234">
            <w:pPr>
              <w:pStyle w:val="a7"/>
              <w:numPr>
                <w:ilvl w:val="0"/>
                <w:numId w:val="42"/>
              </w:numPr>
              <w:ind w:leftChars="0" w:left="545" w:hanging="545"/>
              <w:jc w:val="both"/>
              <w:rPr>
                <w:rFonts w:ascii="標楷體" w:eastAsia="標楷體" w:hAnsi="標楷體" w:cs="細明體"/>
                <w:kern w:val="0"/>
                <w:szCs w:val="24"/>
              </w:rPr>
            </w:pPr>
            <w:r w:rsidRPr="004F6A72">
              <w:rPr>
                <w:rFonts w:ascii="標楷體" w:eastAsia="標楷體" w:hAnsi="標楷體" w:hint="eastAsia"/>
              </w:rPr>
              <w:t>為</w:t>
            </w:r>
            <w:r w:rsidR="00380234">
              <w:rPr>
                <w:rFonts w:ascii="標楷體" w:eastAsia="標楷體" w:hAnsi="標楷體" w:hint="eastAsia"/>
              </w:rPr>
              <w:t>落實本會現階段推動之金融進口替代政策，</w:t>
            </w:r>
            <w:r w:rsidRPr="004F6A72">
              <w:rPr>
                <w:rFonts w:ascii="標楷體" w:eastAsia="標楷體" w:hAnsi="標楷體" w:hint="eastAsia"/>
              </w:rPr>
              <w:t>扶植國內創投事業或金融機構於海外併購及發展升級，並提升本土金融機構之專業能力，爰增列</w:t>
            </w:r>
            <w:r w:rsidR="00380234">
              <w:rPr>
                <w:rFonts w:ascii="標楷體" w:eastAsia="標楷體" w:hAnsi="標楷體" w:hint="eastAsia"/>
              </w:rPr>
              <w:t>私募股權基金之基金管理機構</w:t>
            </w:r>
            <w:r w:rsidR="00622118">
              <w:rPr>
                <w:rFonts w:ascii="標楷體" w:eastAsia="標楷體" w:hAnsi="標楷體" w:hint="eastAsia"/>
              </w:rPr>
              <w:t>，</w:t>
            </w:r>
            <w:r w:rsidR="00380234">
              <w:rPr>
                <w:rFonts w:ascii="標楷體" w:eastAsia="標楷體" w:hAnsi="標楷體" w:hint="eastAsia"/>
              </w:rPr>
              <w:t>於符合一定條件者，</w:t>
            </w:r>
            <w:r w:rsidRPr="004F6A72">
              <w:rPr>
                <w:rFonts w:ascii="標楷體" w:eastAsia="標楷體" w:hAnsi="標楷體" w:hint="eastAsia"/>
              </w:rPr>
              <w:t>不受</w:t>
            </w:r>
            <w:r w:rsidR="00380234">
              <w:rPr>
                <w:rFonts w:ascii="標楷體" w:eastAsia="標楷體" w:hAnsi="標楷體" w:hint="eastAsia"/>
              </w:rPr>
              <w:t>現行第三項第四款所定</w:t>
            </w:r>
            <w:r w:rsidRPr="004F6A72">
              <w:rPr>
                <w:rFonts w:ascii="標楷體" w:eastAsia="標楷體" w:hAnsi="標楷體" w:cs="細明體"/>
                <w:kern w:val="0"/>
                <w:szCs w:val="24"/>
              </w:rPr>
              <w:t>私募股權基金</w:t>
            </w:r>
            <w:r w:rsidRPr="004F6A72">
              <w:rPr>
                <w:rFonts w:ascii="標楷體" w:eastAsia="標楷體" w:hAnsi="標楷體" w:cs="細明體" w:hint="eastAsia"/>
                <w:kern w:val="0"/>
                <w:szCs w:val="24"/>
              </w:rPr>
              <w:t>管理機構條件限制</w:t>
            </w:r>
            <w:r w:rsidRPr="004F6A72">
              <w:rPr>
                <w:rFonts w:ascii="標楷體" w:eastAsia="標楷體" w:hAnsi="標楷體" w:hint="eastAsia"/>
              </w:rPr>
              <w:t>。</w:t>
            </w:r>
          </w:p>
          <w:p w:rsidR="003F79AA" w:rsidRPr="00515A0B" w:rsidRDefault="004A19CA" w:rsidP="004A19CA">
            <w:pPr>
              <w:pStyle w:val="a7"/>
              <w:numPr>
                <w:ilvl w:val="0"/>
                <w:numId w:val="42"/>
              </w:numPr>
              <w:ind w:leftChars="0" w:left="545" w:hanging="545"/>
              <w:jc w:val="both"/>
              <w:rPr>
                <w:rFonts w:ascii="標楷體" w:eastAsia="標楷體" w:hAnsi="標楷體" w:cs="細明體"/>
                <w:kern w:val="0"/>
                <w:szCs w:val="24"/>
              </w:rPr>
            </w:pPr>
            <w:r>
              <w:rPr>
                <w:rFonts w:ascii="標楷體" w:eastAsia="標楷體" w:hAnsi="標楷體" w:hint="eastAsia"/>
              </w:rPr>
              <w:t>經參考</w:t>
            </w:r>
            <w:r w:rsidR="003F79AA" w:rsidRPr="00D34090">
              <w:rPr>
                <w:rFonts w:ascii="標楷體" w:eastAsia="標楷體" w:hAnsi="標楷體" w:hint="eastAsia"/>
              </w:rPr>
              <w:t>創業投資事業輔導辦法</w:t>
            </w:r>
            <w:r w:rsidR="002C1A70">
              <w:rPr>
                <w:rFonts w:ascii="標楷體" w:eastAsia="標楷體" w:hAnsi="標楷體" w:hint="eastAsia"/>
              </w:rPr>
              <w:t>所定中央主管機關</w:t>
            </w:r>
            <w:r>
              <w:rPr>
                <w:rFonts w:ascii="標楷體" w:eastAsia="標楷體" w:hAnsi="標楷體" w:hint="eastAsia"/>
              </w:rPr>
              <w:t>依創業投資事業申請得出具推薦函之相關規範，增列本條第三項第四款第二目之規定。</w:t>
            </w:r>
          </w:p>
          <w:p w:rsidR="00515A0B" w:rsidRPr="00D34090" w:rsidRDefault="00515A0B" w:rsidP="004A19CA">
            <w:pPr>
              <w:pStyle w:val="a7"/>
              <w:numPr>
                <w:ilvl w:val="0"/>
                <w:numId w:val="42"/>
              </w:numPr>
              <w:ind w:leftChars="0" w:left="545" w:hanging="545"/>
              <w:jc w:val="both"/>
              <w:rPr>
                <w:rFonts w:ascii="標楷體" w:eastAsia="標楷體" w:hAnsi="標楷體" w:cs="細明體"/>
                <w:kern w:val="0"/>
                <w:szCs w:val="24"/>
              </w:rPr>
            </w:pPr>
            <w:r>
              <w:rPr>
                <w:rFonts w:ascii="標楷體" w:eastAsia="標楷體" w:hAnsi="標楷體" w:hint="eastAsia"/>
              </w:rPr>
              <w:t>本條第三項第四款第一目所稱金融控股公司之投資事業</w:t>
            </w:r>
            <w:r w:rsidR="00C774CE">
              <w:rPr>
                <w:rFonts w:ascii="標楷體" w:eastAsia="標楷體" w:hAnsi="標楷體" w:hint="eastAsia"/>
              </w:rPr>
              <w:t>，</w:t>
            </w:r>
            <w:r>
              <w:rPr>
                <w:rFonts w:ascii="標楷體" w:eastAsia="標楷體" w:hAnsi="標楷體" w:hint="eastAsia"/>
              </w:rPr>
              <w:t>包含創業投資事業等。</w:t>
            </w:r>
          </w:p>
        </w:tc>
      </w:tr>
      <w:tr w:rsidR="004F6A72" w:rsidRPr="00201C06" w:rsidTr="00601A80">
        <w:tc>
          <w:tcPr>
            <w:tcW w:w="3403" w:type="dxa"/>
          </w:tcPr>
          <w:p w:rsidR="004F6A72" w:rsidRDefault="004F6A72" w:rsidP="00A136C1">
            <w:pPr>
              <w:ind w:left="235" w:hangingChars="98" w:hanging="235"/>
              <w:rPr>
                <w:rFonts w:ascii="標楷體" w:eastAsia="標楷體" w:hAnsi="標楷體"/>
              </w:rPr>
            </w:pPr>
            <w:r>
              <w:rPr>
                <w:rFonts w:ascii="標楷體" w:eastAsia="標楷體" w:hAnsi="標楷體" w:hint="eastAsia"/>
              </w:rPr>
              <w:lastRenderedPageBreak/>
              <w:t xml:space="preserve">第十八條  </w:t>
            </w:r>
            <w:r w:rsidR="009729E8" w:rsidRPr="00831586">
              <w:rPr>
                <w:rFonts w:ascii="標楷體" w:eastAsia="標楷體" w:hAnsi="標楷體" w:hint="eastAsia"/>
                <w:u w:val="single"/>
              </w:rPr>
              <w:t>保險業與經營不善之同業進行合併或承受其</w:t>
            </w:r>
            <w:r w:rsidR="009729E8" w:rsidRPr="00831586">
              <w:rPr>
                <w:rFonts w:ascii="標楷體" w:eastAsia="標楷體" w:hAnsi="標楷體"/>
                <w:u w:val="single"/>
              </w:rPr>
              <w:t>全部或部分營業、資產或負債</w:t>
            </w:r>
            <w:r w:rsidR="00A136C1">
              <w:rPr>
                <w:rFonts w:ascii="標楷體" w:eastAsia="標楷體" w:hAnsi="標楷體" w:hint="eastAsia"/>
                <w:u w:val="single"/>
              </w:rPr>
              <w:t>，經主管機關核准辦理之相關交易</w:t>
            </w:r>
            <w:r w:rsidR="009729E8">
              <w:rPr>
                <w:rFonts w:ascii="標楷體" w:eastAsia="標楷體" w:hAnsi="標楷體" w:hint="eastAsia"/>
                <w:u w:val="single"/>
              </w:rPr>
              <w:t>及</w:t>
            </w:r>
            <w:r w:rsidR="003F79AA">
              <w:rPr>
                <w:rFonts w:ascii="標楷體" w:eastAsia="標楷體" w:hAnsi="標楷體" w:hint="eastAsia"/>
                <w:u w:val="single"/>
              </w:rPr>
              <w:t>投資限額</w:t>
            </w:r>
            <w:r w:rsidR="009729E8" w:rsidRPr="00831586">
              <w:rPr>
                <w:rFonts w:ascii="標楷體" w:eastAsia="標楷體" w:hAnsi="標楷體" w:hint="eastAsia"/>
                <w:u w:val="single"/>
              </w:rPr>
              <w:t>，</w:t>
            </w:r>
            <w:r w:rsidR="009729E8">
              <w:rPr>
                <w:rFonts w:ascii="標楷體" w:eastAsia="標楷體" w:hAnsi="標楷體" w:hint="eastAsia"/>
                <w:u w:val="single"/>
              </w:rPr>
              <w:t>得</w:t>
            </w:r>
            <w:r w:rsidR="009729E8" w:rsidRPr="00831586">
              <w:rPr>
                <w:rFonts w:ascii="標楷體" w:eastAsia="標楷體" w:hAnsi="標楷體" w:hint="eastAsia"/>
                <w:u w:val="single"/>
              </w:rPr>
              <w:t>不受本辦法所定投資規範</w:t>
            </w:r>
            <w:r w:rsidR="00A136C1">
              <w:rPr>
                <w:rFonts w:ascii="標楷體" w:eastAsia="標楷體" w:hAnsi="標楷體" w:hint="eastAsia"/>
                <w:u w:val="single"/>
              </w:rPr>
              <w:t>及投資額度</w:t>
            </w:r>
            <w:r w:rsidR="009729E8" w:rsidRPr="00831586">
              <w:rPr>
                <w:rFonts w:ascii="標楷體" w:eastAsia="標楷體" w:hAnsi="標楷體" w:hint="eastAsia"/>
                <w:u w:val="single"/>
              </w:rPr>
              <w:t>限制</w:t>
            </w:r>
            <w:r w:rsidR="009729E8" w:rsidRPr="009729E8">
              <w:rPr>
                <w:rFonts w:ascii="標楷體" w:eastAsia="標楷體" w:hAnsi="標楷體" w:hint="eastAsia"/>
              </w:rPr>
              <w:t>。</w:t>
            </w:r>
          </w:p>
          <w:p w:rsidR="004F6A72" w:rsidRPr="000E4B5B" w:rsidRDefault="004F6A72" w:rsidP="008B5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831586">
              <w:rPr>
                <w:rFonts w:ascii="標楷體" w:eastAsia="標楷體" w:hAnsi="標楷體" w:hint="eastAsia"/>
              </w:rPr>
              <w:t xml:space="preserve">    </w:t>
            </w:r>
            <w:r w:rsidRPr="00831586">
              <w:rPr>
                <w:rFonts w:ascii="標楷體" w:eastAsia="標楷體" w:hAnsi="標楷體"/>
              </w:rPr>
              <w:t>保險業於本辦法施行前，依主管機關所定法規投資於本辦法未開放之商品或投資於各類資產之金額已逾本辦法所定限額者，不得再增加投資</w:t>
            </w:r>
            <w:r>
              <w:rPr>
                <w:rFonts w:ascii="標楷體" w:eastAsia="標楷體" w:hAnsi="標楷體" w:hint="eastAsia"/>
              </w:rPr>
              <w:t>。</w:t>
            </w:r>
          </w:p>
        </w:tc>
        <w:tc>
          <w:tcPr>
            <w:tcW w:w="3260" w:type="dxa"/>
          </w:tcPr>
          <w:p w:rsidR="004F6A72" w:rsidRPr="00F110B9" w:rsidRDefault="004F6A72" w:rsidP="008B58A1">
            <w:pPr>
              <w:ind w:left="235" w:hangingChars="98" w:hanging="235"/>
              <w:rPr>
                <w:rFonts w:ascii="標楷體" w:eastAsia="標楷體" w:hAnsi="標楷體"/>
                <w:bCs/>
              </w:rPr>
            </w:pPr>
            <w:r>
              <w:rPr>
                <w:rFonts w:ascii="標楷體" w:eastAsia="標楷體" w:hAnsi="標楷體" w:hint="eastAsia"/>
              </w:rPr>
              <w:t xml:space="preserve">第十八條  </w:t>
            </w:r>
            <w:r w:rsidRPr="00831586">
              <w:rPr>
                <w:rFonts w:ascii="標楷體" w:eastAsia="標楷體" w:hAnsi="標楷體"/>
              </w:rPr>
              <w:t>保險業於本辦法施行前，依主管機關所定法規投資於本辦法未開放之商品或投資於各類資產之金額已逾本辦法所定限額者，不得再增加投資</w:t>
            </w:r>
            <w:r>
              <w:rPr>
                <w:rFonts w:ascii="標楷體" w:eastAsia="標楷體" w:hAnsi="標楷體" w:hint="eastAsia"/>
              </w:rPr>
              <w:t>。</w:t>
            </w:r>
          </w:p>
          <w:p w:rsidR="004F6A72" w:rsidRPr="00F110B9" w:rsidRDefault="004F6A72" w:rsidP="008B58A1">
            <w:pPr>
              <w:pStyle w:val="a7"/>
              <w:ind w:leftChars="0" w:left="0" w:firstLineChars="200" w:firstLine="480"/>
              <w:jc w:val="both"/>
              <w:rPr>
                <w:rFonts w:ascii="標楷體" w:eastAsia="標楷體" w:hAnsi="標楷體"/>
                <w:bCs/>
              </w:rPr>
            </w:pPr>
          </w:p>
        </w:tc>
        <w:tc>
          <w:tcPr>
            <w:tcW w:w="2977" w:type="dxa"/>
          </w:tcPr>
          <w:p w:rsidR="004F6A72" w:rsidRPr="00A3595B" w:rsidRDefault="004F6A72" w:rsidP="00D80EA8">
            <w:pPr>
              <w:jc w:val="both"/>
              <w:rPr>
                <w:rFonts w:ascii="標楷體" w:eastAsia="標楷體" w:hAnsi="標楷體"/>
              </w:rPr>
            </w:pPr>
            <w:r>
              <w:rPr>
                <w:rFonts w:ascii="標楷體" w:eastAsia="標楷體" w:hAnsi="標楷體" w:hint="eastAsia"/>
              </w:rPr>
              <w:t>為利處理</w:t>
            </w:r>
            <w:r w:rsidR="008F5B02">
              <w:rPr>
                <w:rFonts w:ascii="標楷體" w:eastAsia="標楷體" w:hAnsi="標楷體" w:hint="eastAsia"/>
              </w:rPr>
              <w:t>接管</w:t>
            </w:r>
            <w:r w:rsidR="00D80EA8">
              <w:rPr>
                <w:rFonts w:ascii="標楷體" w:eastAsia="標楷體" w:hAnsi="標楷體" w:hint="eastAsia"/>
              </w:rPr>
              <w:t>及清理</w:t>
            </w:r>
            <w:r w:rsidR="008F5B02">
              <w:rPr>
                <w:rFonts w:ascii="標楷體" w:eastAsia="標楷體" w:hAnsi="標楷體" w:hint="eastAsia"/>
              </w:rPr>
              <w:t>所涉</w:t>
            </w:r>
            <w:r w:rsidR="00D34090">
              <w:rPr>
                <w:rFonts w:ascii="標楷體" w:eastAsia="標楷體" w:hAnsi="標楷體" w:hint="eastAsia"/>
              </w:rPr>
              <w:t>之</w:t>
            </w:r>
            <w:r>
              <w:rPr>
                <w:rFonts w:ascii="標楷體" w:eastAsia="標楷體" w:hAnsi="標楷體" w:hint="eastAsia"/>
              </w:rPr>
              <w:t>問題保險業退場相關事務，</w:t>
            </w:r>
            <w:r w:rsidR="009729E8">
              <w:rPr>
                <w:rFonts w:ascii="標楷體" w:eastAsia="標楷體" w:hAnsi="標楷體" w:hint="eastAsia"/>
              </w:rPr>
              <w:t>以維護保戶權益及金融市場穩定，</w:t>
            </w:r>
            <w:r>
              <w:rPr>
                <w:rFonts w:ascii="標楷體" w:eastAsia="標楷體" w:hAnsi="標楷體" w:hint="eastAsia"/>
              </w:rPr>
              <w:t>經參酌現行</w:t>
            </w:r>
            <w:r w:rsidR="009729E8">
              <w:rPr>
                <w:rFonts w:ascii="新細明體" w:hAnsi="新細明體" w:hint="eastAsia"/>
              </w:rPr>
              <w:t>「</w:t>
            </w:r>
            <w:r>
              <w:rPr>
                <w:rFonts w:ascii="標楷體" w:eastAsia="標楷體" w:hAnsi="標楷體" w:hint="eastAsia"/>
              </w:rPr>
              <w:t>保險業對同一人同一關係人或同一關係企業之放款及其他交易管理辦法</w:t>
            </w:r>
            <w:r w:rsidR="009729E8">
              <w:rPr>
                <w:rFonts w:ascii="新細明體" w:hAnsi="新細明體" w:hint="eastAsia"/>
              </w:rPr>
              <w:t>」</w:t>
            </w:r>
            <w:r>
              <w:rPr>
                <w:rFonts w:ascii="標楷體" w:eastAsia="標楷體" w:hAnsi="標楷體" w:hint="eastAsia"/>
              </w:rPr>
              <w:t>第五條第四款及</w:t>
            </w:r>
            <w:r w:rsidR="009729E8">
              <w:rPr>
                <w:rFonts w:ascii="新細明體" w:hAnsi="新細明體" w:hint="eastAsia"/>
              </w:rPr>
              <w:t>「</w:t>
            </w:r>
            <w:r>
              <w:rPr>
                <w:rFonts w:ascii="標楷體" w:eastAsia="標楷體" w:hAnsi="標楷體" w:hint="eastAsia"/>
              </w:rPr>
              <w:t>保險業與利害關係人從事放款以外之其他交易管理辦法</w:t>
            </w:r>
            <w:r w:rsidR="009729E8">
              <w:rPr>
                <w:rFonts w:ascii="新細明體" w:hAnsi="新細明體" w:hint="eastAsia"/>
              </w:rPr>
              <w:t>」</w:t>
            </w:r>
            <w:r>
              <w:rPr>
                <w:rFonts w:ascii="標楷體" w:eastAsia="標楷體" w:hAnsi="標楷體" w:hint="eastAsia"/>
              </w:rPr>
              <w:t>第六條第一項所定處理問題保險業相關機制，爰增列第一項規定，並將原第一項移列為第二項。</w:t>
            </w:r>
          </w:p>
        </w:tc>
      </w:tr>
    </w:tbl>
    <w:p w:rsidR="008A27A8" w:rsidRPr="007238FB" w:rsidRDefault="008A27A8"/>
    <w:p w:rsidR="002B0E4A" w:rsidRPr="00902B73" w:rsidRDefault="002B0E4A" w:rsidP="00F24CCB">
      <w:pPr>
        <w:widowControl/>
      </w:pPr>
    </w:p>
    <w:sectPr w:rsidR="002B0E4A" w:rsidRPr="00902B73">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C2" w:rsidRDefault="002841C2" w:rsidP="007F5FDB">
      <w:r>
        <w:separator/>
      </w:r>
    </w:p>
  </w:endnote>
  <w:endnote w:type="continuationSeparator" w:id="0">
    <w:p w:rsidR="002841C2" w:rsidRDefault="002841C2"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54229"/>
      <w:docPartObj>
        <w:docPartGallery w:val="Page Numbers (Bottom of Page)"/>
        <w:docPartUnique/>
      </w:docPartObj>
    </w:sdtPr>
    <w:sdtEndPr/>
    <w:sdtContent>
      <w:p w:rsidR="007E063A" w:rsidRDefault="007E063A">
        <w:pPr>
          <w:pStyle w:val="a5"/>
          <w:jc w:val="center"/>
        </w:pPr>
        <w:r>
          <w:fldChar w:fldCharType="begin"/>
        </w:r>
        <w:r>
          <w:instrText>PAGE   \* MERGEFORMAT</w:instrText>
        </w:r>
        <w:r>
          <w:fldChar w:fldCharType="separate"/>
        </w:r>
        <w:r w:rsidR="0052489F" w:rsidRPr="0052489F">
          <w:rPr>
            <w:noProof/>
            <w:lang w:val="zh-TW"/>
          </w:rPr>
          <w:t>1</w:t>
        </w:r>
        <w:r>
          <w:fldChar w:fldCharType="end"/>
        </w:r>
      </w:p>
    </w:sdtContent>
  </w:sdt>
  <w:p w:rsidR="007E063A" w:rsidRDefault="007E0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C2" w:rsidRDefault="002841C2" w:rsidP="007F5FDB">
      <w:r>
        <w:separator/>
      </w:r>
    </w:p>
  </w:footnote>
  <w:footnote w:type="continuationSeparator" w:id="0">
    <w:p w:rsidR="002841C2" w:rsidRDefault="002841C2"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65F"/>
    <w:multiLevelType w:val="hybridMultilevel"/>
    <w:tmpl w:val="637C0E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B3B66"/>
    <w:multiLevelType w:val="hybridMultilevel"/>
    <w:tmpl w:val="05FA8248"/>
    <w:lvl w:ilvl="0" w:tplc="A0C06BF2">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5A60B9"/>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350195"/>
    <w:multiLevelType w:val="hybridMultilevel"/>
    <w:tmpl w:val="A712FBDC"/>
    <w:lvl w:ilvl="0" w:tplc="A0C06BF2">
      <w:start w:val="1"/>
      <w:numFmt w:val="taiwaneseCountingThousand"/>
      <w:lvlText w:val="(%1)"/>
      <w:lvlJc w:val="left"/>
      <w:pPr>
        <w:ind w:left="1222" w:hanging="480"/>
      </w:pPr>
      <w:rPr>
        <w:rFonts w:hint="default"/>
        <w:b w:val="0"/>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
    <w:nsid w:val="10E26B8E"/>
    <w:multiLevelType w:val="hybridMultilevel"/>
    <w:tmpl w:val="9D30D4AA"/>
    <w:lvl w:ilvl="0" w:tplc="A0C06BF2">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35A154C"/>
    <w:multiLevelType w:val="hybridMultilevel"/>
    <w:tmpl w:val="97786F02"/>
    <w:lvl w:ilvl="0" w:tplc="01649F5E">
      <w:start w:val="1"/>
      <w:numFmt w:val="taiwaneseCountingThousand"/>
      <w:lvlText w:val="(%1)"/>
      <w:lvlJc w:val="left"/>
      <w:pPr>
        <w:ind w:left="960" w:hanging="480"/>
      </w:pPr>
      <w:rPr>
        <w:rFonts w:hint="default"/>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4472C5E"/>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7">
    <w:nsid w:val="1A0C66A3"/>
    <w:multiLevelType w:val="hybridMultilevel"/>
    <w:tmpl w:val="DF8206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AD7104"/>
    <w:multiLevelType w:val="hybridMultilevel"/>
    <w:tmpl w:val="1ACED398"/>
    <w:lvl w:ilvl="0" w:tplc="F5D6DA76">
      <w:start w:val="1"/>
      <w:numFmt w:val="taiwaneseCountingThousand"/>
      <w:lvlText w:val="%1、"/>
      <w:lvlJc w:val="left"/>
      <w:pPr>
        <w:ind w:left="480" w:hanging="480"/>
      </w:pPr>
      <w:rPr>
        <w:rFonts w:ascii="標楷體" w:eastAsia="標楷體" w:hAnsi="標楷體"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9B2A3E"/>
    <w:multiLevelType w:val="hybridMultilevel"/>
    <w:tmpl w:val="A6B4AFA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50316DB"/>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F5813"/>
    <w:multiLevelType w:val="hybridMultilevel"/>
    <w:tmpl w:val="170EBFA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2C0C153B"/>
    <w:multiLevelType w:val="hybridMultilevel"/>
    <w:tmpl w:val="E46E10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01794C"/>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4">
    <w:nsid w:val="39F11E2E"/>
    <w:multiLevelType w:val="hybridMultilevel"/>
    <w:tmpl w:val="2C3EB18E"/>
    <w:lvl w:ilvl="0" w:tplc="972E417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E14C5B"/>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6F1E9E"/>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7">
    <w:nsid w:val="3D7E5A5D"/>
    <w:multiLevelType w:val="hybridMultilevel"/>
    <w:tmpl w:val="49CEB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FF1AA2"/>
    <w:multiLevelType w:val="hybridMultilevel"/>
    <w:tmpl w:val="A9F0E8C2"/>
    <w:lvl w:ilvl="0" w:tplc="4ADC6832">
      <w:start w:val="1"/>
      <w:numFmt w:val="taiwaneseCountingThousand"/>
      <w:lvlText w:val="(%1)"/>
      <w:lvlJc w:val="left"/>
      <w:pPr>
        <w:ind w:left="465" w:hanging="465"/>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B47242D"/>
    <w:multiLevelType w:val="hybridMultilevel"/>
    <w:tmpl w:val="29F060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D56742"/>
    <w:multiLevelType w:val="hybridMultilevel"/>
    <w:tmpl w:val="43F8DBB2"/>
    <w:lvl w:ilvl="0" w:tplc="2AD20BD0">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C1396C"/>
    <w:multiLevelType w:val="hybridMultilevel"/>
    <w:tmpl w:val="9E4C366E"/>
    <w:lvl w:ilvl="0" w:tplc="9D484CBC">
      <w:start w:val="1"/>
      <w:numFmt w:val="decimal"/>
      <w:lvlText w:val="%1."/>
      <w:lvlJc w:val="left"/>
      <w:pPr>
        <w:ind w:left="677" w:hanging="360"/>
      </w:pPr>
      <w:rPr>
        <w:rFonts w:ascii="Times New Roman" w:hAnsi="Times New Roman" w:cs="Times New Roman" w:hint="default"/>
      </w:r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22">
    <w:nsid w:val="55584B6E"/>
    <w:multiLevelType w:val="hybridMultilevel"/>
    <w:tmpl w:val="E782FFC6"/>
    <w:lvl w:ilvl="0" w:tplc="FAD66CF4">
      <w:start w:val="1"/>
      <w:numFmt w:val="taiwaneseCountingThousand"/>
      <w:lvlText w:val="%1、"/>
      <w:lvlJc w:val="left"/>
      <w:pPr>
        <w:ind w:left="480" w:hanging="480"/>
      </w:pPr>
      <w:rPr>
        <w:rFonts w:ascii="Arial"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F83FF9"/>
    <w:multiLevelType w:val="hybridMultilevel"/>
    <w:tmpl w:val="EA4AB050"/>
    <w:lvl w:ilvl="0" w:tplc="88165E88">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A6F3099"/>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5">
    <w:nsid w:val="5D251FAA"/>
    <w:multiLevelType w:val="hybridMultilevel"/>
    <w:tmpl w:val="09CE7F20"/>
    <w:lvl w:ilvl="0" w:tplc="5776A7D2">
      <w:start w:val="1"/>
      <w:numFmt w:val="taiwaneseCountingThousand"/>
      <w:lvlText w:val="%1、"/>
      <w:lvlJc w:val="left"/>
      <w:pPr>
        <w:ind w:left="480" w:hanging="480"/>
      </w:pPr>
      <w:rPr>
        <w:rFonts w:ascii="Arial"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F01A88"/>
    <w:multiLevelType w:val="hybridMultilevel"/>
    <w:tmpl w:val="2D325EA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E96012"/>
    <w:multiLevelType w:val="hybridMultilevel"/>
    <w:tmpl w:val="97F87C6A"/>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CF376C"/>
    <w:multiLevelType w:val="hybridMultilevel"/>
    <w:tmpl w:val="27A2BFEA"/>
    <w:lvl w:ilvl="0" w:tplc="F7C4A5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8C2F1A"/>
    <w:multiLevelType w:val="hybridMultilevel"/>
    <w:tmpl w:val="EA08FA5C"/>
    <w:lvl w:ilvl="0" w:tplc="34145B3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905AAB"/>
    <w:multiLevelType w:val="hybridMultilevel"/>
    <w:tmpl w:val="35E279FC"/>
    <w:lvl w:ilvl="0" w:tplc="E4D438A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DD1A99"/>
    <w:multiLevelType w:val="hybridMultilevel"/>
    <w:tmpl w:val="398C2854"/>
    <w:lvl w:ilvl="0" w:tplc="8226527E">
      <w:start w:val="1"/>
      <w:numFmt w:val="taiwaneseCountingThousand"/>
      <w:lvlText w:val="%1、"/>
      <w:lvlJc w:val="left"/>
      <w:pPr>
        <w:ind w:left="480" w:hanging="480"/>
      </w:pPr>
      <w:rPr>
        <w:rFonts w:ascii="標楷體" w:eastAsia="標楷體" w:hAnsi="標楷體" w:cs="Times New Roman"/>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DE4E1B"/>
    <w:multiLevelType w:val="hybridMultilevel"/>
    <w:tmpl w:val="7294FE60"/>
    <w:lvl w:ilvl="0" w:tplc="3FA28CD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273ED0"/>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4">
    <w:nsid w:val="74720DD4"/>
    <w:multiLevelType w:val="hybridMultilevel"/>
    <w:tmpl w:val="591AB34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2A2022"/>
    <w:multiLevelType w:val="hybridMultilevel"/>
    <w:tmpl w:val="DC52C0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BA3B11"/>
    <w:multiLevelType w:val="hybridMultilevel"/>
    <w:tmpl w:val="71D0A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C80C3D"/>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3B54D5"/>
    <w:multiLevelType w:val="hybridMultilevel"/>
    <w:tmpl w:val="515A797C"/>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A1277F"/>
    <w:multiLevelType w:val="hybridMultilevel"/>
    <w:tmpl w:val="504E48F2"/>
    <w:lvl w:ilvl="0" w:tplc="9B220878">
      <w:start w:val="1"/>
      <w:numFmt w:val="taiwaneseCountingThousand"/>
      <w:lvlText w:val="(%1)"/>
      <w:lvlJc w:val="left"/>
      <w:pPr>
        <w:ind w:left="703" w:hanging="48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40">
    <w:nsid w:val="7F1226E8"/>
    <w:multiLevelType w:val="hybridMultilevel"/>
    <w:tmpl w:val="3306F7AA"/>
    <w:lvl w:ilvl="0" w:tplc="F9FE4E7A">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6400E2"/>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num w:numId="1">
    <w:abstractNumId w:val="31"/>
  </w:num>
  <w:num w:numId="2">
    <w:abstractNumId w:val="8"/>
  </w:num>
  <w:num w:numId="3">
    <w:abstractNumId w:val="24"/>
  </w:num>
  <w:num w:numId="4">
    <w:abstractNumId w:val="13"/>
  </w:num>
  <w:num w:numId="5">
    <w:abstractNumId w:val="16"/>
  </w:num>
  <w:num w:numId="6">
    <w:abstractNumId w:val="41"/>
  </w:num>
  <w:num w:numId="7">
    <w:abstractNumId w:val="1"/>
  </w:num>
  <w:num w:numId="8">
    <w:abstractNumId w:val="22"/>
  </w:num>
  <w:num w:numId="9">
    <w:abstractNumId w:val="30"/>
  </w:num>
  <w:num w:numId="10">
    <w:abstractNumId w:val="5"/>
  </w:num>
  <w:num w:numId="11">
    <w:abstractNumId w:val="33"/>
  </w:num>
  <w:num w:numId="12">
    <w:abstractNumId w:val="6"/>
  </w:num>
  <w:num w:numId="13">
    <w:abstractNumId w:val="25"/>
  </w:num>
  <w:num w:numId="14">
    <w:abstractNumId w:val="20"/>
  </w:num>
  <w:num w:numId="15">
    <w:abstractNumId w:val="4"/>
  </w:num>
  <w:num w:numId="16">
    <w:abstractNumId w:val="9"/>
  </w:num>
  <w:num w:numId="17">
    <w:abstractNumId w:val="17"/>
  </w:num>
  <w:num w:numId="18">
    <w:abstractNumId w:val="3"/>
  </w:num>
  <w:num w:numId="19">
    <w:abstractNumId w:val="27"/>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26"/>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9"/>
  </w:num>
  <w:num w:numId="30">
    <w:abstractNumId w:val="15"/>
  </w:num>
  <w:num w:numId="31">
    <w:abstractNumId w:val="37"/>
  </w:num>
  <w:num w:numId="32">
    <w:abstractNumId w:val="39"/>
  </w:num>
  <w:num w:numId="33">
    <w:abstractNumId w:val="38"/>
  </w:num>
  <w:num w:numId="34">
    <w:abstractNumId w:val="2"/>
  </w:num>
  <w:num w:numId="35">
    <w:abstractNumId w:val="10"/>
  </w:num>
  <w:num w:numId="36">
    <w:abstractNumId w:val="35"/>
  </w:num>
  <w:num w:numId="37">
    <w:abstractNumId w:val="0"/>
  </w:num>
  <w:num w:numId="38">
    <w:abstractNumId w:val="36"/>
  </w:num>
  <w:num w:numId="39">
    <w:abstractNumId w:val="40"/>
  </w:num>
  <w:num w:numId="40">
    <w:abstractNumId w:val="14"/>
  </w:num>
  <w:num w:numId="41">
    <w:abstractNumId w:val="28"/>
  </w:num>
  <w:num w:numId="42">
    <w:abstractNumId w:val="3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04D57"/>
    <w:rsid w:val="00043C6A"/>
    <w:rsid w:val="0007270C"/>
    <w:rsid w:val="000B3400"/>
    <w:rsid w:val="000D33F3"/>
    <w:rsid w:val="000E4B5B"/>
    <w:rsid w:val="00143599"/>
    <w:rsid w:val="00151B3B"/>
    <w:rsid w:val="00152397"/>
    <w:rsid w:val="0019566B"/>
    <w:rsid w:val="001A359F"/>
    <w:rsid w:val="001A3ED0"/>
    <w:rsid w:val="001B1214"/>
    <w:rsid w:val="001B79EF"/>
    <w:rsid w:val="001E3054"/>
    <w:rsid w:val="00200D24"/>
    <w:rsid w:val="00212A60"/>
    <w:rsid w:val="002158AB"/>
    <w:rsid w:val="002374D3"/>
    <w:rsid w:val="002841C2"/>
    <w:rsid w:val="002A3DBD"/>
    <w:rsid w:val="002B0E4A"/>
    <w:rsid w:val="002C1A70"/>
    <w:rsid w:val="002C55D7"/>
    <w:rsid w:val="002D0B0A"/>
    <w:rsid w:val="00310CB4"/>
    <w:rsid w:val="0031564E"/>
    <w:rsid w:val="00321E51"/>
    <w:rsid w:val="0034455A"/>
    <w:rsid w:val="00352DB4"/>
    <w:rsid w:val="003729F3"/>
    <w:rsid w:val="003779F8"/>
    <w:rsid w:val="00380234"/>
    <w:rsid w:val="003830B5"/>
    <w:rsid w:val="00384BFC"/>
    <w:rsid w:val="00386C3E"/>
    <w:rsid w:val="003B47C0"/>
    <w:rsid w:val="003D30C0"/>
    <w:rsid w:val="003E115E"/>
    <w:rsid w:val="003E4B41"/>
    <w:rsid w:val="003F6B15"/>
    <w:rsid w:val="003F79AA"/>
    <w:rsid w:val="00400AFF"/>
    <w:rsid w:val="00411109"/>
    <w:rsid w:val="00443B97"/>
    <w:rsid w:val="00480FCB"/>
    <w:rsid w:val="004A19CA"/>
    <w:rsid w:val="004A1AD9"/>
    <w:rsid w:val="004C393E"/>
    <w:rsid w:val="004D36E6"/>
    <w:rsid w:val="004F1B02"/>
    <w:rsid w:val="004F6A72"/>
    <w:rsid w:val="005053C0"/>
    <w:rsid w:val="00515A0B"/>
    <w:rsid w:val="0052489F"/>
    <w:rsid w:val="005263C8"/>
    <w:rsid w:val="00564991"/>
    <w:rsid w:val="00593FDB"/>
    <w:rsid w:val="005A3FBA"/>
    <w:rsid w:val="005C3933"/>
    <w:rsid w:val="005E31AD"/>
    <w:rsid w:val="005E53AA"/>
    <w:rsid w:val="00601A80"/>
    <w:rsid w:val="00622118"/>
    <w:rsid w:val="00656319"/>
    <w:rsid w:val="00682A21"/>
    <w:rsid w:val="00691E80"/>
    <w:rsid w:val="006D04A8"/>
    <w:rsid w:val="006E5949"/>
    <w:rsid w:val="0071713D"/>
    <w:rsid w:val="007238FB"/>
    <w:rsid w:val="007315BF"/>
    <w:rsid w:val="00733338"/>
    <w:rsid w:val="007518BE"/>
    <w:rsid w:val="0075594C"/>
    <w:rsid w:val="007B22A3"/>
    <w:rsid w:val="007C1306"/>
    <w:rsid w:val="007D1873"/>
    <w:rsid w:val="007E063A"/>
    <w:rsid w:val="007F5FDB"/>
    <w:rsid w:val="00822991"/>
    <w:rsid w:val="0082598C"/>
    <w:rsid w:val="00830B12"/>
    <w:rsid w:val="00831586"/>
    <w:rsid w:val="008573C7"/>
    <w:rsid w:val="00866364"/>
    <w:rsid w:val="00881E24"/>
    <w:rsid w:val="008A27A8"/>
    <w:rsid w:val="008B75DC"/>
    <w:rsid w:val="008C448D"/>
    <w:rsid w:val="008E265F"/>
    <w:rsid w:val="008F5B02"/>
    <w:rsid w:val="00902B73"/>
    <w:rsid w:val="00911E5C"/>
    <w:rsid w:val="009729E8"/>
    <w:rsid w:val="00974CA0"/>
    <w:rsid w:val="00983C6C"/>
    <w:rsid w:val="00996F5A"/>
    <w:rsid w:val="009A2DEC"/>
    <w:rsid w:val="009B6630"/>
    <w:rsid w:val="009B68DA"/>
    <w:rsid w:val="009D7765"/>
    <w:rsid w:val="009E34F0"/>
    <w:rsid w:val="009E522E"/>
    <w:rsid w:val="009F4738"/>
    <w:rsid w:val="00A003D4"/>
    <w:rsid w:val="00A11700"/>
    <w:rsid w:val="00A136C1"/>
    <w:rsid w:val="00A3595B"/>
    <w:rsid w:val="00A675B2"/>
    <w:rsid w:val="00A775C7"/>
    <w:rsid w:val="00AA0084"/>
    <w:rsid w:val="00AA2311"/>
    <w:rsid w:val="00AB264F"/>
    <w:rsid w:val="00AE16DF"/>
    <w:rsid w:val="00B51101"/>
    <w:rsid w:val="00B54EE1"/>
    <w:rsid w:val="00B75576"/>
    <w:rsid w:val="00BD7B0B"/>
    <w:rsid w:val="00BF1D94"/>
    <w:rsid w:val="00C37CFD"/>
    <w:rsid w:val="00C5575C"/>
    <w:rsid w:val="00C74002"/>
    <w:rsid w:val="00C774CE"/>
    <w:rsid w:val="00C8559D"/>
    <w:rsid w:val="00CF4A5C"/>
    <w:rsid w:val="00D13B9E"/>
    <w:rsid w:val="00D14EBA"/>
    <w:rsid w:val="00D2273C"/>
    <w:rsid w:val="00D330FF"/>
    <w:rsid w:val="00D34090"/>
    <w:rsid w:val="00D80EA8"/>
    <w:rsid w:val="00D90232"/>
    <w:rsid w:val="00DC4CCC"/>
    <w:rsid w:val="00DD3E4C"/>
    <w:rsid w:val="00E00CA8"/>
    <w:rsid w:val="00E716C0"/>
    <w:rsid w:val="00E7275C"/>
    <w:rsid w:val="00E87A71"/>
    <w:rsid w:val="00E97498"/>
    <w:rsid w:val="00EA0B7C"/>
    <w:rsid w:val="00EA34F2"/>
    <w:rsid w:val="00EC1264"/>
    <w:rsid w:val="00EF3325"/>
    <w:rsid w:val="00F24CCB"/>
    <w:rsid w:val="00F54ABB"/>
    <w:rsid w:val="00F73CB8"/>
    <w:rsid w:val="00F745A5"/>
    <w:rsid w:val="00F8222E"/>
    <w:rsid w:val="00F84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 w:type="character" w:styleId="ab">
    <w:name w:val="Hyperlink"/>
    <w:basedOn w:val="a0"/>
    <w:uiPriority w:val="99"/>
    <w:semiHidden/>
    <w:unhideWhenUsed/>
    <w:rsid w:val="008E265F"/>
    <w:rPr>
      <w:color w:val="0000FF"/>
      <w:u w:val="single"/>
    </w:rPr>
  </w:style>
  <w:style w:type="paragraph" w:customStyle="1" w:styleId="ac">
    <w:name w:val="公文(後續段落)"/>
    <w:basedOn w:val="a"/>
    <w:rsid w:val="007238FB"/>
    <w:pPr>
      <w:spacing w:line="500" w:lineRule="exact"/>
      <w:ind w:left="317"/>
    </w:pPr>
    <w:rPr>
      <w:rFonts w:ascii="Times New Roman" w:eastAsia="標楷體"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 w:type="character" w:styleId="ab">
    <w:name w:val="Hyperlink"/>
    <w:basedOn w:val="a0"/>
    <w:uiPriority w:val="99"/>
    <w:semiHidden/>
    <w:unhideWhenUsed/>
    <w:rsid w:val="008E265F"/>
    <w:rPr>
      <w:color w:val="0000FF"/>
      <w:u w:val="single"/>
    </w:rPr>
  </w:style>
  <w:style w:type="paragraph" w:customStyle="1" w:styleId="ac">
    <w:name w:val="公文(後續段落)"/>
    <w:basedOn w:val="a"/>
    <w:rsid w:val="007238FB"/>
    <w:pPr>
      <w:spacing w:line="500" w:lineRule="exact"/>
      <w:ind w:left="317"/>
    </w:pPr>
    <w:rPr>
      <w:rFonts w:ascii="Times New Roman" w:eastAsia="標楷體"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2954">
      <w:bodyDiv w:val="1"/>
      <w:marLeft w:val="0"/>
      <w:marRight w:val="0"/>
      <w:marTop w:val="0"/>
      <w:marBottom w:val="0"/>
      <w:divBdr>
        <w:top w:val="none" w:sz="0" w:space="0" w:color="auto"/>
        <w:left w:val="none" w:sz="0" w:space="0" w:color="auto"/>
        <w:bottom w:val="none" w:sz="0" w:space="0" w:color="auto"/>
        <w:right w:val="none" w:sz="0" w:space="0" w:color="auto"/>
      </w:divBdr>
    </w:div>
    <w:div w:id="1694916765">
      <w:bodyDiv w:val="1"/>
      <w:marLeft w:val="0"/>
      <w:marRight w:val="0"/>
      <w:marTop w:val="0"/>
      <w:marBottom w:val="0"/>
      <w:divBdr>
        <w:top w:val="none" w:sz="0" w:space="0" w:color="auto"/>
        <w:left w:val="none" w:sz="0" w:space="0" w:color="auto"/>
        <w:bottom w:val="none" w:sz="0" w:space="0" w:color="auto"/>
        <w:right w:val="none" w:sz="0" w:space="0" w:color="auto"/>
      </w:divBdr>
    </w:div>
    <w:div w:id="2041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227A-BCBC-4443-9F4E-D302D31D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何淑月</cp:lastModifiedBy>
  <cp:revision>2</cp:revision>
  <cp:lastPrinted>2014-12-16T02:01:00Z</cp:lastPrinted>
  <dcterms:created xsi:type="dcterms:W3CDTF">2014-12-19T07:41:00Z</dcterms:created>
  <dcterms:modified xsi:type="dcterms:W3CDTF">2014-12-19T07:41:00Z</dcterms:modified>
</cp:coreProperties>
</file>