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7B0" w:rsidRPr="00180FDD" w:rsidRDefault="00BE17B0" w:rsidP="00822537">
      <w:pPr>
        <w:kinsoku w:val="0"/>
        <w:overflowPunct w:val="0"/>
        <w:spacing w:line="360" w:lineRule="auto"/>
        <w:ind w:rightChars="-25" w:right="-60"/>
        <w:jc w:val="center"/>
        <w:textAlignment w:val="center"/>
        <w:rPr>
          <w:rFonts w:eastAsia="標楷體"/>
          <w:sz w:val="32"/>
          <w:szCs w:val="32"/>
        </w:rPr>
      </w:pPr>
      <w:bookmarkStart w:id="0" w:name="OLE_LINK1"/>
      <w:r w:rsidRPr="00180FDD">
        <w:rPr>
          <w:rFonts w:eastAsia="標楷體"/>
          <w:sz w:val="32"/>
          <w:szCs w:val="32"/>
        </w:rPr>
        <w:t>10</w:t>
      </w:r>
      <w:r w:rsidR="00B749EF" w:rsidRPr="00180FDD">
        <w:rPr>
          <w:rFonts w:eastAsia="標楷體"/>
          <w:sz w:val="32"/>
          <w:szCs w:val="32"/>
        </w:rPr>
        <w:t>6</w:t>
      </w:r>
      <w:r w:rsidRPr="00180FDD">
        <w:rPr>
          <w:rFonts w:eastAsia="標楷體"/>
          <w:sz w:val="32"/>
          <w:szCs w:val="32"/>
        </w:rPr>
        <w:t>年度人身保險業精算簽證作業補充說明</w:t>
      </w:r>
      <w:bookmarkEnd w:id="0"/>
    </w:p>
    <w:p w:rsidR="00DC6ED7" w:rsidRPr="00180FDD" w:rsidRDefault="00AF081E" w:rsidP="00B35189">
      <w:pPr>
        <w:kinsoku w:val="0"/>
        <w:overflowPunct w:val="0"/>
        <w:spacing w:line="360" w:lineRule="auto"/>
        <w:ind w:rightChars="-25" w:right="-60"/>
        <w:jc w:val="both"/>
        <w:textAlignment w:val="center"/>
        <w:rPr>
          <w:rFonts w:eastAsia="標楷體"/>
        </w:rPr>
      </w:pPr>
      <w:r w:rsidRPr="00180FDD">
        <w:rPr>
          <w:rFonts w:eastAsia="標楷體"/>
        </w:rPr>
        <w:t>第一章、</w:t>
      </w:r>
      <w:r w:rsidR="00DC6ED7" w:rsidRPr="00180FDD">
        <w:rPr>
          <w:rFonts w:eastAsia="標楷體"/>
        </w:rPr>
        <w:t>總則</w:t>
      </w:r>
    </w:p>
    <w:tbl>
      <w:tblPr>
        <w:tblW w:w="9360" w:type="dxa"/>
        <w:tblInd w:w="108" w:type="dxa"/>
        <w:tblLook w:val="01E0" w:firstRow="1" w:lastRow="1" w:firstColumn="1" w:lastColumn="1" w:noHBand="0" w:noVBand="0"/>
      </w:tblPr>
      <w:tblGrid>
        <w:gridCol w:w="9360"/>
      </w:tblGrid>
      <w:tr w:rsidR="00180FDD" w:rsidRPr="00180FDD" w:rsidTr="0023480D">
        <w:trPr>
          <w:trHeight w:val="57"/>
        </w:trPr>
        <w:tc>
          <w:tcPr>
            <w:tcW w:w="9360" w:type="dxa"/>
          </w:tcPr>
          <w:p w:rsidR="00DC6ED7" w:rsidRPr="00180FDD" w:rsidRDefault="0097693F" w:rsidP="00B35189">
            <w:pPr>
              <w:kinsoku w:val="0"/>
              <w:overflowPunct w:val="0"/>
              <w:spacing w:line="360" w:lineRule="auto"/>
              <w:ind w:left="480" w:hangingChars="200" w:hanging="480"/>
              <w:jc w:val="both"/>
              <w:textAlignment w:val="center"/>
              <w:rPr>
                <w:rFonts w:eastAsia="標楷體"/>
              </w:rPr>
            </w:pPr>
            <w:r w:rsidRPr="00180FDD">
              <w:rPr>
                <w:rFonts w:eastAsia="標楷體"/>
              </w:rPr>
              <w:t>一、</w:t>
            </w:r>
            <w:r w:rsidR="00DC6ED7" w:rsidRPr="00180FDD">
              <w:rPr>
                <w:rFonts w:eastAsia="標楷體"/>
              </w:rPr>
              <w:t>本說明係配合保險法第</w:t>
            </w:r>
            <w:r w:rsidR="00DC6ED7" w:rsidRPr="00180FDD">
              <w:rPr>
                <w:rFonts w:eastAsia="標楷體"/>
              </w:rPr>
              <w:t>144</w:t>
            </w:r>
            <w:r w:rsidR="00DC6ED7" w:rsidRPr="00180FDD">
              <w:rPr>
                <w:rFonts w:eastAsia="標楷體"/>
              </w:rPr>
              <w:t>條及相關法令規定，補充說明簽證精算人員執行簽證工作時應遵循之事項，以及簽證報告內容與格式之要求，以作為主管機關審閱</w:t>
            </w:r>
            <w:r w:rsidR="00B749EF" w:rsidRPr="00180FDD">
              <w:rPr>
                <w:rFonts w:eastAsia="標楷體"/>
              </w:rPr>
              <w:t>106</w:t>
            </w:r>
            <w:r w:rsidR="00DC6ED7" w:rsidRPr="00180FDD">
              <w:rPr>
                <w:rFonts w:eastAsia="標楷體"/>
              </w:rPr>
              <w:t>年度人身保險業精算簽證報告之重要依據。</w:t>
            </w:r>
          </w:p>
        </w:tc>
      </w:tr>
    </w:tbl>
    <w:p w:rsidR="00DC6ED7" w:rsidRPr="00180FDD" w:rsidRDefault="00DC6ED7" w:rsidP="00B35189">
      <w:pPr>
        <w:kinsoku w:val="0"/>
        <w:overflowPunct w:val="0"/>
        <w:spacing w:line="360" w:lineRule="auto"/>
        <w:ind w:rightChars="-25" w:right="-60"/>
        <w:jc w:val="both"/>
        <w:textAlignment w:val="center"/>
        <w:rPr>
          <w:rFonts w:eastAsia="標楷體"/>
          <w:b/>
        </w:rPr>
      </w:pPr>
      <w:r w:rsidRPr="00180FDD">
        <w:rPr>
          <w:rFonts w:eastAsia="標楷體"/>
        </w:rPr>
        <w:t>第二章、資產面</w:t>
      </w:r>
    </w:p>
    <w:p w:rsidR="00DC6ED7" w:rsidRPr="00180FDD" w:rsidRDefault="00DC6ED7" w:rsidP="00B35189">
      <w:pPr>
        <w:kinsoku w:val="0"/>
        <w:overflowPunct w:val="0"/>
        <w:spacing w:line="360" w:lineRule="auto"/>
        <w:ind w:rightChars="-25" w:right="-60"/>
        <w:jc w:val="both"/>
        <w:textAlignment w:val="center"/>
        <w:rPr>
          <w:rFonts w:eastAsia="標楷體"/>
        </w:rPr>
      </w:pPr>
      <w:r w:rsidRPr="00180FDD">
        <w:rPr>
          <w:rFonts w:eastAsia="標楷體"/>
        </w:rPr>
        <w:t>第一節、資產模型之說明</w:t>
      </w:r>
    </w:p>
    <w:tbl>
      <w:tblPr>
        <w:tblW w:w="9360" w:type="dxa"/>
        <w:tblInd w:w="108" w:type="dxa"/>
        <w:tblLook w:val="01E0" w:firstRow="1" w:lastRow="1" w:firstColumn="1" w:lastColumn="1" w:noHBand="0" w:noVBand="0"/>
      </w:tblPr>
      <w:tblGrid>
        <w:gridCol w:w="9360"/>
      </w:tblGrid>
      <w:tr w:rsidR="00180FDD" w:rsidRPr="00180FDD" w:rsidTr="00E01844">
        <w:trPr>
          <w:trHeight w:val="56"/>
        </w:trPr>
        <w:tc>
          <w:tcPr>
            <w:tcW w:w="9360" w:type="dxa"/>
          </w:tcPr>
          <w:p w:rsidR="00DC6ED7" w:rsidRPr="00180FDD" w:rsidRDefault="0097693F" w:rsidP="00B35189">
            <w:pPr>
              <w:kinsoku w:val="0"/>
              <w:overflowPunct w:val="0"/>
              <w:spacing w:line="360" w:lineRule="auto"/>
              <w:ind w:left="480" w:hangingChars="200" w:hanging="480"/>
              <w:jc w:val="both"/>
              <w:textAlignment w:val="center"/>
              <w:rPr>
                <w:rFonts w:eastAsia="標楷體"/>
              </w:rPr>
            </w:pPr>
            <w:r w:rsidRPr="00180FDD">
              <w:rPr>
                <w:rFonts w:eastAsia="標楷體"/>
              </w:rPr>
              <w:t>二、</w:t>
            </w:r>
            <w:r w:rsidR="00DC6ED7" w:rsidRPr="00180FDD">
              <w:rPr>
                <w:rFonts w:eastAsia="標楷體"/>
              </w:rPr>
              <w:t>簽證精算人員應提供評價始點納入測試之既有資產配置，並檢附與彙送主管機關保險年</w:t>
            </w:r>
            <w:r w:rsidR="00B35189" w:rsidRPr="00180FDD">
              <w:rPr>
                <w:rFonts w:eastAsia="標楷體" w:hint="eastAsia"/>
              </w:rPr>
              <w:t>(</w:t>
            </w:r>
            <w:r w:rsidR="00DC6ED7" w:rsidRPr="00180FDD">
              <w:rPr>
                <w:rFonts w:eastAsia="標楷體"/>
              </w:rPr>
              <w:t>月</w:t>
            </w:r>
            <w:r w:rsidR="00B35189" w:rsidRPr="00180FDD">
              <w:rPr>
                <w:rFonts w:eastAsia="標楷體" w:hint="eastAsia"/>
              </w:rPr>
              <w:t>)</w:t>
            </w:r>
            <w:r w:rsidR="00DC6ED7" w:rsidRPr="00180FDD">
              <w:rPr>
                <w:rFonts w:eastAsia="標楷體"/>
              </w:rPr>
              <w:t>報有關資產配置之差異對照表，如有不一致，應說明其原因。</w:t>
            </w:r>
          </w:p>
        </w:tc>
      </w:tr>
      <w:tr w:rsidR="00180FDD" w:rsidRPr="00180FDD" w:rsidTr="00E01844">
        <w:trPr>
          <w:trHeight w:val="56"/>
        </w:trPr>
        <w:tc>
          <w:tcPr>
            <w:tcW w:w="9360" w:type="dxa"/>
          </w:tcPr>
          <w:p w:rsidR="00DC6ED7" w:rsidRPr="00180FDD" w:rsidRDefault="0097693F" w:rsidP="00B35189">
            <w:pPr>
              <w:kinsoku w:val="0"/>
              <w:overflowPunct w:val="0"/>
              <w:spacing w:line="360" w:lineRule="auto"/>
              <w:ind w:left="480" w:hangingChars="200" w:hanging="480"/>
              <w:jc w:val="both"/>
              <w:textAlignment w:val="center"/>
              <w:rPr>
                <w:rFonts w:eastAsia="標楷體"/>
              </w:rPr>
            </w:pPr>
            <w:r w:rsidRPr="00180FDD">
              <w:rPr>
                <w:rFonts w:eastAsia="標楷體"/>
              </w:rPr>
              <w:t>三、</w:t>
            </w:r>
            <w:r w:rsidR="00DC6ED7" w:rsidRPr="00180FDD">
              <w:rPr>
                <w:rFonts w:eastAsia="標楷體"/>
              </w:rPr>
              <w:t>簽證精算人員應提供各年度公司新錢及整體之資產配置</w:t>
            </w:r>
            <w:r w:rsidR="00B35189" w:rsidRPr="00180FDD">
              <w:rPr>
                <w:rFonts w:eastAsia="標楷體" w:hint="eastAsia"/>
              </w:rPr>
              <w:t>(</w:t>
            </w:r>
            <w:r w:rsidR="00DC6ED7" w:rsidRPr="00180FDD">
              <w:rPr>
                <w:rFonts w:eastAsia="標楷體"/>
              </w:rPr>
              <w:t>詳指定附表</w:t>
            </w:r>
            <w:r w:rsidR="00DC6ED7" w:rsidRPr="00180FDD">
              <w:rPr>
                <w:rFonts w:eastAsia="標楷體"/>
              </w:rPr>
              <w:t>1</w:t>
            </w:r>
            <w:r w:rsidR="00B35189" w:rsidRPr="00180FDD">
              <w:rPr>
                <w:rFonts w:eastAsia="標楷體" w:hint="eastAsia"/>
              </w:rPr>
              <w:t>)</w:t>
            </w:r>
            <w:r w:rsidR="00DC6ED7" w:rsidRPr="00180FDD">
              <w:rPr>
                <w:rFonts w:eastAsia="標楷體"/>
              </w:rPr>
              <w:t>，並說明其依據及合理性</w:t>
            </w:r>
            <w:r w:rsidR="00D5410D" w:rsidRPr="00180FDD">
              <w:rPr>
                <w:rFonts w:eastAsia="標楷體"/>
              </w:rPr>
              <w:t>，其中固定收益類之新錢資產配置，應進一步提供所採新購固定收益資產之明細，包括</w:t>
            </w:r>
            <w:r w:rsidR="004960B0" w:rsidRPr="00180FDD">
              <w:rPr>
                <w:rFonts w:eastAsia="標楷體"/>
              </w:rPr>
              <w:t>幣別、資產類別</w:t>
            </w:r>
            <w:r w:rsidR="00D5410D" w:rsidRPr="00180FDD">
              <w:rPr>
                <w:rFonts w:eastAsia="標楷體"/>
              </w:rPr>
              <w:t>、</w:t>
            </w:r>
            <w:r w:rsidR="00E74D6D" w:rsidRPr="00180FDD">
              <w:rPr>
                <w:rFonts w:eastAsia="標楷體"/>
              </w:rPr>
              <w:t>年期、</w:t>
            </w:r>
            <w:r w:rsidR="00D5410D" w:rsidRPr="00180FDD">
              <w:rPr>
                <w:rFonts w:eastAsia="標楷體"/>
              </w:rPr>
              <w:t>信用評等、利息支付方式、贖回條件、</w:t>
            </w:r>
            <w:r w:rsidR="001A142F" w:rsidRPr="00180FDD">
              <w:rPr>
                <w:rFonts w:eastAsia="標楷體"/>
              </w:rPr>
              <w:t>占</w:t>
            </w:r>
            <w:r w:rsidR="00D5410D" w:rsidRPr="00180FDD">
              <w:rPr>
                <w:rFonts w:eastAsia="標楷體"/>
              </w:rPr>
              <w:t>率等資料。</w:t>
            </w:r>
          </w:p>
        </w:tc>
      </w:tr>
      <w:tr w:rsidR="00180FDD" w:rsidRPr="00180FDD" w:rsidTr="00E01844">
        <w:trPr>
          <w:trHeight w:val="56"/>
        </w:trPr>
        <w:tc>
          <w:tcPr>
            <w:tcW w:w="9360" w:type="dxa"/>
          </w:tcPr>
          <w:p w:rsidR="00DC6ED7" w:rsidRPr="00180FDD" w:rsidRDefault="0097693F" w:rsidP="00B35189">
            <w:pPr>
              <w:kinsoku w:val="0"/>
              <w:overflowPunct w:val="0"/>
              <w:spacing w:line="360" w:lineRule="auto"/>
              <w:ind w:left="480" w:hangingChars="200" w:hanging="480"/>
              <w:jc w:val="both"/>
              <w:textAlignment w:val="center"/>
              <w:rPr>
                <w:rFonts w:eastAsia="標楷體"/>
              </w:rPr>
            </w:pPr>
            <w:r w:rsidRPr="00180FDD">
              <w:rPr>
                <w:rFonts w:eastAsia="標楷體"/>
              </w:rPr>
              <w:t>四、</w:t>
            </w:r>
            <w:r w:rsidR="00DC6ED7" w:rsidRPr="00180FDD">
              <w:rPr>
                <w:rFonts w:eastAsia="標楷體"/>
              </w:rPr>
              <w:t>評價始點納入模型測試之資產應等於納入模型測試之準備金。</w:t>
            </w:r>
          </w:p>
        </w:tc>
      </w:tr>
      <w:tr w:rsidR="00180FDD" w:rsidRPr="00180FDD" w:rsidTr="00E01844">
        <w:trPr>
          <w:trHeight w:val="56"/>
        </w:trPr>
        <w:tc>
          <w:tcPr>
            <w:tcW w:w="9360" w:type="dxa"/>
          </w:tcPr>
          <w:p w:rsidR="00DC6ED7" w:rsidRPr="00180FDD" w:rsidRDefault="0097693F" w:rsidP="00B35189">
            <w:pPr>
              <w:kinsoku w:val="0"/>
              <w:overflowPunct w:val="0"/>
              <w:spacing w:line="360" w:lineRule="auto"/>
              <w:ind w:left="480" w:hangingChars="200" w:hanging="480"/>
              <w:jc w:val="both"/>
              <w:textAlignment w:val="center"/>
              <w:rPr>
                <w:rFonts w:eastAsia="標楷體"/>
              </w:rPr>
            </w:pPr>
            <w:r w:rsidRPr="00180FDD">
              <w:rPr>
                <w:rFonts w:eastAsia="標楷體"/>
              </w:rPr>
              <w:t>五、</w:t>
            </w:r>
            <w:r w:rsidR="00DC6ED7" w:rsidRPr="00180FDD">
              <w:rPr>
                <w:rFonts w:eastAsia="標楷體"/>
              </w:rPr>
              <w:t>簽證精算人員應說明各類資產之評價方法，如市價法、攤銷法或其他評價方法。</w:t>
            </w:r>
          </w:p>
        </w:tc>
      </w:tr>
      <w:tr w:rsidR="00180FDD" w:rsidRPr="00180FDD" w:rsidTr="00E01844">
        <w:trPr>
          <w:trHeight w:val="56"/>
        </w:trPr>
        <w:tc>
          <w:tcPr>
            <w:tcW w:w="9360" w:type="dxa"/>
          </w:tcPr>
          <w:p w:rsidR="00DC6ED7" w:rsidRPr="00180FDD" w:rsidRDefault="0097693F" w:rsidP="00B35189">
            <w:pPr>
              <w:kinsoku w:val="0"/>
              <w:overflowPunct w:val="0"/>
              <w:spacing w:line="360" w:lineRule="auto"/>
              <w:ind w:left="480" w:hangingChars="200" w:hanging="480"/>
              <w:jc w:val="both"/>
              <w:textAlignment w:val="center"/>
              <w:rPr>
                <w:rFonts w:eastAsia="標楷體"/>
              </w:rPr>
            </w:pPr>
            <w:r w:rsidRPr="00180FDD">
              <w:rPr>
                <w:rFonts w:eastAsia="標楷體"/>
              </w:rPr>
              <w:t>六、</w:t>
            </w:r>
            <w:r w:rsidR="00DC6ED7" w:rsidRPr="00180FDD">
              <w:rPr>
                <w:rFonts w:eastAsia="標楷體"/>
              </w:rPr>
              <w:t>簽證精算人員評價資產時，應依資產特性將違約成本、避險成本或債券贖回等因素納入考量，其中</w:t>
            </w:r>
            <w:r w:rsidR="003E6F4F" w:rsidRPr="00180FDD">
              <w:rPr>
                <w:rFonts w:eastAsia="標楷體"/>
              </w:rPr>
              <w:t>就</w:t>
            </w:r>
            <w:r w:rsidR="00DC6ED7" w:rsidRPr="00180FDD">
              <w:rPr>
                <w:rFonts w:eastAsia="標楷體"/>
              </w:rPr>
              <w:t>違約成本應採公司最近經驗資料或引用國內外知名信用評等公司之最近期研究報告</w:t>
            </w:r>
            <w:r w:rsidR="00DA6EF5" w:rsidRPr="00180FDD">
              <w:rPr>
                <w:rFonts w:eastAsia="標楷體"/>
              </w:rPr>
              <w:t>；</w:t>
            </w:r>
            <w:r w:rsidR="003E6F4F" w:rsidRPr="00180FDD">
              <w:rPr>
                <w:rFonts w:eastAsia="標楷體"/>
              </w:rPr>
              <w:t>就</w:t>
            </w:r>
            <w:r w:rsidR="00051AF2" w:rsidRPr="00180FDD">
              <w:rPr>
                <w:rFonts w:eastAsia="標楷體"/>
              </w:rPr>
              <w:t>債券贖回應提出既有資產及新錢投資之可贖回資產占率，並應納入該因素進行評估</w:t>
            </w:r>
            <w:r w:rsidR="00DC6ED7" w:rsidRPr="00180FDD">
              <w:rPr>
                <w:rFonts w:eastAsia="標楷體"/>
              </w:rPr>
              <w:t>。如有處分資產，應以市價計算其損益。</w:t>
            </w:r>
          </w:p>
        </w:tc>
      </w:tr>
      <w:tr w:rsidR="00180FDD" w:rsidRPr="00180FDD" w:rsidTr="00E01844">
        <w:trPr>
          <w:trHeight w:val="56"/>
        </w:trPr>
        <w:tc>
          <w:tcPr>
            <w:tcW w:w="9360" w:type="dxa"/>
          </w:tcPr>
          <w:p w:rsidR="00DC6ED7" w:rsidRPr="00180FDD" w:rsidRDefault="0097693F" w:rsidP="00B35189">
            <w:pPr>
              <w:kinsoku w:val="0"/>
              <w:overflowPunct w:val="0"/>
              <w:spacing w:line="360" w:lineRule="auto"/>
              <w:ind w:left="480" w:hangingChars="200" w:hanging="480"/>
              <w:jc w:val="both"/>
              <w:textAlignment w:val="center"/>
              <w:rPr>
                <w:rFonts w:eastAsia="標楷體"/>
              </w:rPr>
            </w:pPr>
            <w:bookmarkStart w:id="1" w:name="OLE_LINK2"/>
            <w:r w:rsidRPr="00180FDD">
              <w:rPr>
                <w:rFonts w:eastAsia="標楷體"/>
              </w:rPr>
              <w:t>七、簽證精算人員應</w:t>
            </w:r>
            <w:bookmarkEnd w:id="1"/>
            <w:r w:rsidR="00DC6ED7" w:rsidRPr="00180FDD">
              <w:rPr>
                <w:rFonts w:eastAsia="標楷體"/>
              </w:rPr>
              <w:t>說明資產模型之投資策略，至少應包括資產區隔、未來產生正或負現金流量之投資策略、總資產為負時之模型外借貸、各區隔資產間的模型內借貸、外匯避險、資產到期前及資產市價下跌時之買賣等策略。</w:t>
            </w:r>
          </w:p>
        </w:tc>
      </w:tr>
    </w:tbl>
    <w:p w:rsidR="00DC6ED7" w:rsidRPr="00180FDD" w:rsidRDefault="00DC6ED7" w:rsidP="00B35189">
      <w:pPr>
        <w:kinsoku w:val="0"/>
        <w:overflowPunct w:val="0"/>
        <w:spacing w:line="360" w:lineRule="auto"/>
        <w:ind w:rightChars="-25" w:right="-60"/>
        <w:jc w:val="both"/>
        <w:textAlignment w:val="center"/>
        <w:rPr>
          <w:rFonts w:eastAsia="標楷體"/>
        </w:rPr>
      </w:pPr>
      <w:r w:rsidRPr="00180FDD">
        <w:rPr>
          <w:rFonts w:eastAsia="標楷體"/>
        </w:rPr>
        <w:t>第二節、資產面之假設</w:t>
      </w:r>
    </w:p>
    <w:tbl>
      <w:tblPr>
        <w:tblW w:w="9360" w:type="dxa"/>
        <w:tblInd w:w="108" w:type="dxa"/>
        <w:tblLook w:val="01E0" w:firstRow="1" w:lastRow="1" w:firstColumn="1" w:lastColumn="1" w:noHBand="0" w:noVBand="0"/>
      </w:tblPr>
      <w:tblGrid>
        <w:gridCol w:w="9360"/>
      </w:tblGrid>
      <w:tr w:rsidR="00180FDD" w:rsidRPr="00180FDD" w:rsidTr="00E01844">
        <w:trPr>
          <w:trHeight w:val="604"/>
        </w:trPr>
        <w:tc>
          <w:tcPr>
            <w:tcW w:w="9360" w:type="dxa"/>
          </w:tcPr>
          <w:p w:rsidR="00DC6ED7" w:rsidRPr="00180FDD" w:rsidRDefault="0097693F" w:rsidP="00B35189">
            <w:pPr>
              <w:kinsoku w:val="0"/>
              <w:overflowPunct w:val="0"/>
              <w:spacing w:line="360" w:lineRule="auto"/>
              <w:ind w:left="480" w:hangingChars="200" w:hanging="480"/>
              <w:jc w:val="both"/>
              <w:textAlignment w:val="center"/>
              <w:rPr>
                <w:rFonts w:eastAsia="標楷體"/>
              </w:rPr>
            </w:pPr>
            <w:r w:rsidRPr="00180FDD">
              <w:rPr>
                <w:rFonts w:eastAsia="標楷體"/>
              </w:rPr>
              <w:t>八、</w:t>
            </w:r>
            <w:r w:rsidR="00DC6ED7" w:rsidRPr="00180FDD">
              <w:rPr>
                <w:rFonts w:eastAsia="標楷體"/>
              </w:rPr>
              <w:t>簽證精算人員應依主管機關規定之</w:t>
            </w:r>
            <w:r w:rsidR="00DC6ED7" w:rsidRPr="00180FDD">
              <w:rPr>
                <w:rFonts w:eastAsia="標楷體"/>
              </w:rPr>
              <w:t>1</w:t>
            </w:r>
            <w:r w:rsidR="00AD39B1" w:rsidRPr="00180FDD">
              <w:rPr>
                <w:rFonts w:eastAsia="標楷體"/>
              </w:rPr>
              <w:t>,</w:t>
            </w:r>
            <w:r w:rsidR="00DC6ED7" w:rsidRPr="00180FDD">
              <w:rPr>
                <w:rFonts w:eastAsia="標楷體"/>
              </w:rPr>
              <w:t>009</w:t>
            </w:r>
            <w:r w:rsidR="00DC6ED7" w:rsidRPr="00180FDD">
              <w:rPr>
                <w:rFonts w:eastAsia="標楷體"/>
              </w:rPr>
              <w:t>組情境進行測試，並說明各類資產情境之採用情形，資產類型至少區分現金、固定收益類、權益類及不動產等，投資幣別至</w:t>
            </w:r>
            <w:r w:rsidR="00DC6ED7" w:rsidRPr="00180FDD">
              <w:rPr>
                <w:rFonts w:eastAsia="標楷體"/>
              </w:rPr>
              <w:lastRenderedPageBreak/>
              <w:t>少區分國內及國外</w:t>
            </w:r>
            <w:r w:rsidR="00B35189" w:rsidRPr="00180FDD">
              <w:rPr>
                <w:rFonts w:eastAsia="標楷體" w:hint="eastAsia"/>
              </w:rPr>
              <w:t>(</w:t>
            </w:r>
            <w:r w:rsidR="00DC6ED7" w:rsidRPr="00180FDD">
              <w:rPr>
                <w:rFonts w:eastAsia="標楷體"/>
              </w:rPr>
              <w:t>按交易計價幣別</w:t>
            </w:r>
            <w:r w:rsidR="00B35189" w:rsidRPr="00180FDD">
              <w:rPr>
                <w:rFonts w:eastAsia="標楷體" w:hint="eastAsia"/>
              </w:rPr>
              <w:t>)</w:t>
            </w:r>
            <w:r w:rsidR="00D5410D" w:rsidRPr="00180FDD">
              <w:rPr>
                <w:rFonts w:eastAsia="標楷體"/>
              </w:rPr>
              <w:t>，其中固定收益類應至少按可否贖回區分政府公債、公司債</w:t>
            </w:r>
            <w:r w:rsidR="00FC0AAF" w:rsidRPr="00180FDD">
              <w:rPr>
                <w:rFonts w:eastAsia="標楷體"/>
              </w:rPr>
              <w:t>或</w:t>
            </w:r>
            <w:r w:rsidR="00D5410D" w:rsidRPr="00180FDD">
              <w:rPr>
                <w:rFonts w:eastAsia="標楷體"/>
              </w:rPr>
              <w:t>金融債、國際板債券等類別</w:t>
            </w:r>
            <w:r w:rsidR="00FB72DE" w:rsidRPr="00180FDD">
              <w:rPr>
                <w:rFonts w:eastAsia="標楷體"/>
              </w:rPr>
              <w:t>。</w:t>
            </w:r>
          </w:p>
        </w:tc>
      </w:tr>
      <w:tr w:rsidR="00180FDD" w:rsidRPr="00180FDD" w:rsidTr="0023480D">
        <w:trPr>
          <w:trHeight w:val="510"/>
        </w:trPr>
        <w:tc>
          <w:tcPr>
            <w:tcW w:w="9360" w:type="dxa"/>
          </w:tcPr>
          <w:p w:rsidR="00DC6ED7" w:rsidRPr="00180FDD" w:rsidRDefault="0097693F" w:rsidP="00B35189">
            <w:pPr>
              <w:kinsoku w:val="0"/>
              <w:overflowPunct w:val="0"/>
              <w:spacing w:line="360" w:lineRule="auto"/>
              <w:ind w:left="480" w:hangingChars="200" w:hanging="480"/>
              <w:jc w:val="both"/>
              <w:textAlignment w:val="center"/>
              <w:rPr>
                <w:rFonts w:eastAsia="標楷體"/>
              </w:rPr>
            </w:pPr>
            <w:r w:rsidRPr="00180FDD">
              <w:rPr>
                <w:rFonts w:eastAsia="標楷體"/>
              </w:rPr>
              <w:lastRenderedPageBreak/>
              <w:t>九、</w:t>
            </w:r>
            <w:r w:rsidR="00DC6ED7" w:rsidRPr="00180FDD">
              <w:rPr>
                <w:rFonts w:eastAsia="標楷體"/>
              </w:rPr>
              <w:t>簽證精算人員得視情況額外增加情境進行測試，但應說明所增加情境之合理性。</w:t>
            </w:r>
          </w:p>
        </w:tc>
      </w:tr>
      <w:tr w:rsidR="00180FDD" w:rsidRPr="00180FDD" w:rsidTr="00564A80">
        <w:trPr>
          <w:trHeight w:val="57"/>
        </w:trPr>
        <w:tc>
          <w:tcPr>
            <w:tcW w:w="9360" w:type="dxa"/>
          </w:tcPr>
          <w:p w:rsidR="00DC6ED7" w:rsidRPr="00180FDD" w:rsidRDefault="0097693F" w:rsidP="00B35189">
            <w:pPr>
              <w:kinsoku w:val="0"/>
              <w:overflowPunct w:val="0"/>
              <w:spacing w:line="360" w:lineRule="auto"/>
              <w:ind w:left="480" w:hangingChars="200" w:hanging="480"/>
              <w:jc w:val="both"/>
              <w:textAlignment w:val="center"/>
              <w:rPr>
                <w:rFonts w:eastAsia="標楷體"/>
              </w:rPr>
            </w:pPr>
            <w:r w:rsidRPr="00180FDD">
              <w:rPr>
                <w:rFonts w:eastAsia="標楷體"/>
              </w:rPr>
              <w:t>十、</w:t>
            </w:r>
            <w:r w:rsidR="00DC6ED7" w:rsidRPr="00180FDD">
              <w:rPr>
                <w:rFonts w:eastAsia="標楷體"/>
              </w:rPr>
              <w:t>簽證精算人員應依據可靠之歷史經驗及市場現況，提供各類資產之風險溢酬，且依資產模型之資產類別提供最近</w:t>
            </w:r>
            <w:r w:rsidR="00DC6ED7" w:rsidRPr="00180FDD">
              <w:rPr>
                <w:rFonts w:eastAsia="標楷體"/>
              </w:rPr>
              <w:t>5</w:t>
            </w:r>
            <w:r w:rsidR="00DC6ED7" w:rsidRPr="00180FDD">
              <w:rPr>
                <w:rFonts w:eastAsia="標楷體"/>
              </w:rPr>
              <w:t>年至</w:t>
            </w:r>
            <w:r w:rsidR="00DC6ED7" w:rsidRPr="00180FDD">
              <w:rPr>
                <w:rFonts w:eastAsia="標楷體"/>
              </w:rPr>
              <w:t>10</w:t>
            </w:r>
            <w:r w:rsidR="00B749EF" w:rsidRPr="00180FDD">
              <w:rPr>
                <w:rFonts w:eastAsia="標楷體"/>
              </w:rPr>
              <w:t>年之資金運用收益</w:t>
            </w:r>
            <w:r w:rsidR="00B35189" w:rsidRPr="00180FDD">
              <w:rPr>
                <w:rFonts w:eastAsia="標楷體" w:hint="eastAsia"/>
              </w:rPr>
              <w:t>(</w:t>
            </w:r>
            <w:r w:rsidR="00DC6ED7" w:rsidRPr="00180FDD">
              <w:rPr>
                <w:rFonts w:eastAsia="標楷體"/>
              </w:rPr>
              <w:t>詳指定附表</w:t>
            </w:r>
            <w:r w:rsidR="00DC6ED7" w:rsidRPr="00180FDD">
              <w:rPr>
                <w:rFonts w:eastAsia="標楷體"/>
              </w:rPr>
              <w:t>2-1</w:t>
            </w:r>
            <w:r w:rsidR="00DC6ED7" w:rsidRPr="00180FDD">
              <w:rPr>
                <w:rFonts w:eastAsia="標楷體"/>
              </w:rPr>
              <w:t>，但公司最近資金收益率年度不足</w:t>
            </w:r>
            <w:r w:rsidR="00DC6ED7" w:rsidRPr="00180FDD">
              <w:rPr>
                <w:rFonts w:eastAsia="標楷體"/>
              </w:rPr>
              <w:t>5</w:t>
            </w:r>
            <w:r w:rsidR="00DC6ED7" w:rsidRPr="00180FDD">
              <w:rPr>
                <w:rFonts w:eastAsia="標楷體"/>
              </w:rPr>
              <w:t>年者，公司得僅提供各該年度資料</w:t>
            </w:r>
            <w:r w:rsidR="00B35189" w:rsidRPr="00180FDD">
              <w:rPr>
                <w:rFonts w:eastAsia="標楷體" w:hint="eastAsia"/>
              </w:rPr>
              <w:t>)</w:t>
            </w:r>
            <w:r w:rsidR="00DC6ED7" w:rsidRPr="00180FDD">
              <w:rPr>
                <w:rFonts w:eastAsia="標楷體"/>
              </w:rPr>
              <w:t>，並說明假設之合理性。</w:t>
            </w:r>
          </w:p>
          <w:p w:rsidR="00586089" w:rsidRPr="00180FDD" w:rsidRDefault="00115A8A" w:rsidP="00B35189">
            <w:pPr>
              <w:kinsoku w:val="0"/>
              <w:overflowPunct w:val="0"/>
              <w:spacing w:line="360" w:lineRule="auto"/>
              <w:ind w:leftChars="200" w:left="480"/>
              <w:jc w:val="both"/>
              <w:textAlignment w:val="center"/>
              <w:rPr>
                <w:rFonts w:eastAsia="標楷體"/>
              </w:rPr>
            </w:pPr>
            <w:r w:rsidRPr="00180FDD">
              <w:rPr>
                <w:rFonts w:eastAsia="標楷體"/>
              </w:rPr>
              <w:t>簽證精算人員於訂定股票投資報酬率之精算假設時，應參照人身保險業簽證精算人員實務處理原則，反映公司實際經驗以決定最適假設</w:t>
            </w:r>
            <w:r w:rsidR="00586089" w:rsidRPr="00180FDD">
              <w:rPr>
                <w:rFonts w:eastAsia="標楷體"/>
              </w:rPr>
              <w:t>。</w:t>
            </w:r>
          </w:p>
        </w:tc>
      </w:tr>
      <w:tr w:rsidR="00180FDD" w:rsidRPr="00180FDD" w:rsidTr="00564A80">
        <w:trPr>
          <w:trHeight w:val="57"/>
        </w:trPr>
        <w:tc>
          <w:tcPr>
            <w:tcW w:w="9360" w:type="dxa"/>
          </w:tcPr>
          <w:p w:rsidR="00DC6ED7" w:rsidRPr="00180FDD" w:rsidRDefault="0097693F" w:rsidP="00B35189">
            <w:pPr>
              <w:kinsoku w:val="0"/>
              <w:overflowPunct w:val="0"/>
              <w:spacing w:line="360" w:lineRule="auto"/>
              <w:ind w:left="720" w:hangingChars="300" w:hanging="720"/>
              <w:jc w:val="both"/>
              <w:textAlignment w:val="center"/>
              <w:rPr>
                <w:rFonts w:eastAsia="標楷體"/>
              </w:rPr>
            </w:pPr>
            <w:r w:rsidRPr="00180FDD">
              <w:rPr>
                <w:rFonts w:eastAsia="標楷體"/>
              </w:rPr>
              <w:t>十一、</w:t>
            </w:r>
            <w:r w:rsidR="00DC6ED7" w:rsidRPr="00180FDD">
              <w:rPr>
                <w:rFonts w:eastAsia="標楷體"/>
              </w:rPr>
              <w:t>簽證精算人員應提供各年度公司整體及各區隔資產之投資組合報酬率</w:t>
            </w:r>
            <w:r w:rsidR="00B35189" w:rsidRPr="00180FDD">
              <w:rPr>
                <w:rFonts w:eastAsia="標楷體" w:hint="eastAsia"/>
              </w:rPr>
              <w:t>(</w:t>
            </w:r>
            <w:r w:rsidR="00DC6ED7" w:rsidRPr="00180FDD">
              <w:rPr>
                <w:rFonts w:eastAsia="標楷體"/>
              </w:rPr>
              <w:t>詳指定附表</w:t>
            </w:r>
            <w:r w:rsidR="00E2028C" w:rsidRPr="00180FDD">
              <w:rPr>
                <w:rFonts w:eastAsia="標楷體"/>
              </w:rPr>
              <w:t>3</w:t>
            </w:r>
            <w:r w:rsidR="00B35189" w:rsidRPr="00180FDD">
              <w:rPr>
                <w:rFonts w:eastAsia="標楷體" w:hint="eastAsia"/>
              </w:rPr>
              <w:t>)</w:t>
            </w:r>
            <w:r w:rsidR="00DC6ED7" w:rsidRPr="00180FDD">
              <w:rPr>
                <w:rFonts w:eastAsia="標楷體"/>
              </w:rPr>
              <w:t>。</w:t>
            </w:r>
          </w:p>
        </w:tc>
      </w:tr>
      <w:tr w:rsidR="00180FDD" w:rsidRPr="00180FDD" w:rsidTr="00564A80">
        <w:trPr>
          <w:trHeight w:val="57"/>
        </w:trPr>
        <w:tc>
          <w:tcPr>
            <w:tcW w:w="9360" w:type="dxa"/>
          </w:tcPr>
          <w:p w:rsidR="00DC6ED7" w:rsidRPr="00180FDD" w:rsidRDefault="0097693F" w:rsidP="00B35189">
            <w:pPr>
              <w:kinsoku w:val="0"/>
              <w:overflowPunct w:val="0"/>
              <w:spacing w:line="360" w:lineRule="auto"/>
              <w:ind w:left="720" w:hangingChars="300" w:hanging="720"/>
              <w:jc w:val="both"/>
              <w:textAlignment w:val="center"/>
              <w:rPr>
                <w:rFonts w:eastAsia="標楷體"/>
              </w:rPr>
            </w:pPr>
            <w:r w:rsidRPr="00180FDD">
              <w:rPr>
                <w:rFonts w:eastAsia="標楷體"/>
              </w:rPr>
              <w:t>十二、</w:t>
            </w:r>
            <w:r w:rsidR="00DC6ED7" w:rsidRPr="00180FDD">
              <w:rPr>
                <w:rFonts w:eastAsia="標楷體"/>
              </w:rPr>
              <w:t>最佳估計利率情境之基礎利率應審慎評估並說明其與上一年度的變化情況與影響程度，以及是否符合市場利率走勢，並以主管機關指定利率情境之台幣及外幣基礎利率為上限。簽證精算人員應提供各年度新錢基礎利率、公司整體及新錢之投資組合報酬率</w:t>
            </w:r>
            <w:r w:rsidR="00B35189" w:rsidRPr="00180FDD">
              <w:rPr>
                <w:rFonts w:eastAsia="標楷體" w:hint="eastAsia"/>
              </w:rPr>
              <w:t>(</w:t>
            </w:r>
            <w:r w:rsidR="00DC6ED7" w:rsidRPr="00180FDD">
              <w:rPr>
                <w:rFonts w:eastAsia="標楷體"/>
              </w:rPr>
              <w:t>指定附表</w:t>
            </w:r>
            <w:r w:rsidR="00E2028C" w:rsidRPr="00180FDD">
              <w:rPr>
                <w:rFonts w:eastAsia="標楷體"/>
              </w:rPr>
              <w:t>2</w:t>
            </w:r>
            <w:r w:rsidR="00B35189" w:rsidRPr="00180FDD">
              <w:rPr>
                <w:rFonts w:eastAsia="標楷體" w:hint="eastAsia"/>
              </w:rPr>
              <w:t>)</w:t>
            </w:r>
            <w:r w:rsidR="00DC6ED7" w:rsidRPr="00180FDD">
              <w:rPr>
                <w:rFonts w:eastAsia="標楷體"/>
              </w:rPr>
              <w:t>。</w:t>
            </w:r>
          </w:p>
        </w:tc>
      </w:tr>
      <w:tr w:rsidR="00180FDD" w:rsidRPr="00180FDD" w:rsidTr="00564A80">
        <w:trPr>
          <w:trHeight w:val="57"/>
        </w:trPr>
        <w:tc>
          <w:tcPr>
            <w:tcW w:w="9360" w:type="dxa"/>
          </w:tcPr>
          <w:p w:rsidR="00DC6ED7" w:rsidRPr="00180FDD" w:rsidRDefault="0097693F" w:rsidP="00B35189">
            <w:pPr>
              <w:kinsoku w:val="0"/>
              <w:overflowPunct w:val="0"/>
              <w:spacing w:line="360" w:lineRule="auto"/>
              <w:ind w:left="720" w:hangingChars="300" w:hanging="720"/>
              <w:jc w:val="both"/>
              <w:textAlignment w:val="center"/>
              <w:rPr>
                <w:rFonts w:eastAsia="標楷體"/>
              </w:rPr>
            </w:pPr>
            <w:r w:rsidRPr="00180FDD">
              <w:rPr>
                <w:rFonts w:eastAsia="標楷體"/>
              </w:rPr>
              <w:t>十三、</w:t>
            </w:r>
            <w:r w:rsidR="00DC6ED7" w:rsidRPr="00180FDD">
              <w:rPr>
                <w:rFonts w:eastAsia="標楷體"/>
              </w:rPr>
              <w:t>簽證精算人員應載明各簽證項目</w:t>
            </w:r>
            <w:r w:rsidR="00B35189" w:rsidRPr="00180FDD">
              <w:rPr>
                <w:rFonts w:eastAsia="標楷體" w:hint="eastAsia"/>
              </w:rPr>
              <w:t>(</w:t>
            </w:r>
            <w:r w:rsidR="00DC6ED7" w:rsidRPr="00180FDD">
              <w:rPr>
                <w:rFonts w:eastAsia="標楷體"/>
              </w:rPr>
              <w:t>包括保險費率釐訂、責任準備金核算、保單紅利分配、投資決策評估及清償能力評估</w:t>
            </w:r>
            <w:r w:rsidR="00B35189" w:rsidRPr="00180FDD">
              <w:rPr>
                <w:rFonts w:eastAsia="標楷體" w:hint="eastAsia"/>
              </w:rPr>
              <w:t>)</w:t>
            </w:r>
            <w:r w:rsidR="00DC6ED7" w:rsidRPr="00180FDD">
              <w:rPr>
                <w:rFonts w:eastAsia="標楷體"/>
              </w:rPr>
              <w:t>之資產面假設，並說明其一致性及合理性。</w:t>
            </w:r>
          </w:p>
        </w:tc>
      </w:tr>
      <w:tr w:rsidR="00180FDD" w:rsidRPr="00180FDD" w:rsidTr="00564A80">
        <w:trPr>
          <w:trHeight w:val="57"/>
        </w:trPr>
        <w:tc>
          <w:tcPr>
            <w:tcW w:w="9360" w:type="dxa"/>
          </w:tcPr>
          <w:p w:rsidR="0023480D" w:rsidRPr="00180FDD" w:rsidRDefault="0097693F" w:rsidP="00B35189">
            <w:pPr>
              <w:kinsoku w:val="0"/>
              <w:overflowPunct w:val="0"/>
              <w:spacing w:line="360" w:lineRule="auto"/>
              <w:ind w:left="720" w:hangingChars="300" w:hanging="720"/>
              <w:jc w:val="both"/>
              <w:textAlignment w:val="center"/>
              <w:rPr>
                <w:rFonts w:eastAsia="標楷體"/>
              </w:rPr>
            </w:pPr>
            <w:r w:rsidRPr="00180FDD">
              <w:rPr>
                <w:rFonts w:eastAsia="標楷體"/>
              </w:rPr>
              <w:t>十四、</w:t>
            </w:r>
            <w:r w:rsidR="00DC6ED7" w:rsidRPr="00180FDD">
              <w:rPr>
                <w:rFonts w:eastAsia="標楷體"/>
              </w:rPr>
              <w:t>簽證精算人員應檢附當年度與上年度之資產面假設對照表，除說明所採用之精算軟體外，至少應包括各類資產風險溢酬、違約成本、避險成本、新錢資產配置及最佳估計利率情境等資產面假設。若假設完全相同者，應說明其適當性；若有不一致者，應說明其原因及影響是否顯著。如有顯著影響，應以量化方式評估其影響程度</w:t>
            </w:r>
            <w:r w:rsidR="00B35189" w:rsidRPr="00180FDD">
              <w:rPr>
                <w:rFonts w:eastAsia="標楷體" w:hint="eastAsia"/>
              </w:rPr>
              <w:t>(</w:t>
            </w:r>
            <w:r w:rsidR="00007724" w:rsidRPr="00180FDD">
              <w:rPr>
                <w:rFonts w:eastAsia="標楷體"/>
              </w:rPr>
              <w:t>準備金適足性測試之變動分析</w:t>
            </w:r>
            <w:r w:rsidR="00BD5392" w:rsidRPr="00180FDD">
              <w:rPr>
                <w:rFonts w:eastAsia="標楷體"/>
              </w:rPr>
              <w:t>表</w:t>
            </w:r>
            <w:r w:rsidR="00007724" w:rsidRPr="00180FDD">
              <w:rPr>
                <w:rFonts w:eastAsia="標楷體"/>
              </w:rPr>
              <w:t>詳指定附表</w:t>
            </w:r>
            <w:r w:rsidR="00007724" w:rsidRPr="00180FDD">
              <w:rPr>
                <w:rFonts w:eastAsia="標楷體"/>
              </w:rPr>
              <w:t>15</w:t>
            </w:r>
            <w:r w:rsidR="00B35189" w:rsidRPr="00180FDD">
              <w:rPr>
                <w:rFonts w:eastAsia="標楷體" w:hint="eastAsia"/>
              </w:rPr>
              <w:t>)</w:t>
            </w:r>
            <w:r w:rsidR="00DC6ED7" w:rsidRPr="00180FDD">
              <w:rPr>
                <w:rFonts w:eastAsia="標楷體"/>
              </w:rPr>
              <w:t>。</w:t>
            </w:r>
          </w:p>
          <w:p w:rsidR="00120BB9" w:rsidRPr="00180FDD" w:rsidRDefault="00120BB9" w:rsidP="00B35189">
            <w:pPr>
              <w:tabs>
                <w:tab w:val="left" w:pos="732"/>
              </w:tabs>
              <w:kinsoku w:val="0"/>
              <w:overflowPunct w:val="0"/>
              <w:spacing w:line="360" w:lineRule="auto"/>
              <w:ind w:leftChars="300" w:left="720"/>
              <w:jc w:val="both"/>
              <w:textAlignment w:val="center"/>
              <w:rPr>
                <w:rFonts w:eastAsia="標楷體"/>
              </w:rPr>
            </w:pPr>
            <w:r w:rsidRPr="00180FDD">
              <w:rPr>
                <w:rFonts w:eastAsia="標楷體"/>
              </w:rPr>
              <w:t>除因法令或主管機關或其指定機構公告之基礎情境而變動外，簽證精算人員應依下列規定辦理：</w:t>
            </w:r>
          </w:p>
          <w:p w:rsidR="00120BB9" w:rsidRPr="00180FDD" w:rsidRDefault="00B35189" w:rsidP="00B35189">
            <w:pPr>
              <w:tabs>
                <w:tab w:val="left" w:pos="732"/>
              </w:tabs>
              <w:kinsoku w:val="0"/>
              <w:overflowPunct w:val="0"/>
              <w:spacing w:line="360" w:lineRule="auto"/>
              <w:ind w:leftChars="299" w:left="1164" w:hangingChars="186" w:hanging="446"/>
              <w:jc w:val="both"/>
              <w:textAlignment w:val="center"/>
              <w:rPr>
                <w:rFonts w:eastAsia="標楷體"/>
              </w:rPr>
            </w:pPr>
            <w:r w:rsidRPr="00180FDD">
              <w:rPr>
                <w:rFonts w:eastAsia="標楷體" w:hint="eastAsia"/>
                <w:kern w:val="0"/>
              </w:rPr>
              <w:lastRenderedPageBreak/>
              <w:t>(</w:t>
            </w:r>
            <w:r w:rsidR="00120BB9" w:rsidRPr="00180FDD">
              <w:rPr>
                <w:rFonts w:eastAsia="標楷體"/>
                <w:kern w:val="0"/>
              </w:rPr>
              <w:t>一</w:t>
            </w:r>
            <w:r w:rsidRPr="00180FDD">
              <w:rPr>
                <w:rFonts w:eastAsia="標楷體" w:hint="eastAsia"/>
                <w:kern w:val="0"/>
              </w:rPr>
              <w:t>)</w:t>
            </w:r>
            <w:r w:rsidR="00120BB9" w:rsidRPr="00180FDD">
              <w:rPr>
                <w:rFonts w:eastAsia="標楷體"/>
                <w:kern w:val="0"/>
              </w:rPr>
              <w:t>若精算</w:t>
            </w:r>
            <w:r w:rsidR="00120BB9" w:rsidRPr="00180FDD">
              <w:rPr>
                <w:rFonts w:eastAsia="標楷體"/>
              </w:rPr>
              <w:t>假設</w:t>
            </w:r>
            <w:r w:rsidR="00120BB9" w:rsidRPr="00180FDD">
              <w:rPr>
                <w:rFonts w:eastAsia="標楷體"/>
                <w:kern w:val="0"/>
              </w:rPr>
              <w:t>變動致使</w:t>
            </w:r>
            <w:r w:rsidR="00EF7460" w:rsidRPr="00180FDD">
              <w:rPr>
                <w:rFonts w:eastAsia="標楷體"/>
                <w:kern w:val="0"/>
              </w:rPr>
              <w:t>各項簽證項目之測試結果</w:t>
            </w:r>
            <w:r w:rsidR="00120BB9" w:rsidRPr="00180FDD">
              <w:rPr>
                <w:rFonts w:eastAsia="標楷體"/>
                <w:kern w:val="0"/>
              </w:rPr>
              <w:t>有顯著影響時，應評估其影響數，且揭露於精算意見書。</w:t>
            </w:r>
          </w:p>
          <w:p w:rsidR="00120BB9" w:rsidRPr="00180FDD" w:rsidRDefault="00B35189" w:rsidP="00B35189">
            <w:pPr>
              <w:tabs>
                <w:tab w:val="left" w:pos="732"/>
              </w:tabs>
              <w:kinsoku w:val="0"/>
              <w:overflowPunct w:val="0"/>
              <w:spacing w:line="360" w:lineRule="auto"/>
              <w:ind w:leftChars="299" w:left="1164" w:hangingChars="186" w:hanging="446"/>
              <w:jc w:val="both"/>
              <w:textAlignment w:val="center"/>
              <w:rPr>
                <w:rFonts w:eastAsia="標楷體"/>
                <w:kern w:val="0"/>
              </w:rPr>
            </w:pPr>
            <w:r w:rsidRPr="00180FDD">
              <w:rPr>
                <w:rFonts w:eastAsia="標楷體" w:hint="eastAsia"/>
                <w:kern w:val="0"/>
              </w:rPr>
              <w:t>(</w:t>
            </w:r>
            <w:r w:rsidR="00120BB9" w:rsidRPr="00180FDD">
              <w:rPr>
                <w:rFonts w:eastAsia="標楷體"/>
                <w:kern w:val="0"/>
              </w:rPr>
              <w:t>二</w:t>
            </w:r>
            <w:r w:rsidRPr="00180FDD">
              <w:rPr>
                <w:rFonts w:eastAsia="標楷體" w:hint="eastAsia"/>
                <w:kern w:val="0"/>
              </w:rPr>
              <w:t>)</w:t>
            </w:r>
            <w:r w:rsidR="00120BB9" w:rsidRPr="00180FDD">
              <w:rPr>
                <w:rFonts w:eastAsia="標楷體"/>
                <w:kern w:val="0"/>
              </w:rPr>
              <w:t>若精算假設變動致使</w:t>
            </w:r>
            <w:r w:rsidR="00A249EB" w:rsidRPr="00180FDD">
              <w:rPr>
                <w:rFonts w:eastAsia="標楷體"/>
                <w:kern w:val="0"/>
              </w:rPr>
              <w:t>各項簽證項目之</w:t>
            </w:r>
            <w:r w:rsidR="00120BB9" w:rsidRPr="00180FDD">
              <w:rPr>
                <w:rFonts w:eastAsia="標楷體"/>
                <w:kern w:val="0"/>
              </w:rPr>
              <w:t>測試結果更趨保守時，僅須說明該變動之合理性及必要性。</w:t>
            </w:r>
          </w:p>
          <w:p w:rsidR="00194E15" w:rsidRPr="00180FDD" w:rsidRDefault="00194E15" w:rsidP="00B35189">
            <w:pPr>
              <w:tabs>
                <w:tab w:val="left" w:pos="732"/>
              </w:tabs>
              <w:kinsoku w:val="0"/>
              <w:overflowPunct w:val="0"/>
              <w:spacing w:line="360" w:lineRule="auto"/>
              <w:ind w:leftChars="300" w:left="720"/>
              <w:jc w:val="both"/>
              <w:textAlignment w:val="center"/>
              <w:rPr>
                <w:rFonts w:eastAsia="標楷體"/>
              </w:rPr>
            </w:pPr>
            <w:r w:rsidRPr="00180FDD">
              <w:rPr>
                <w:rFonts w:eastAsia="標楷體"/>
              </w:rPr>
              <w:t>簽證精算人員應提出精算假設變動致使各簽證項目測試結果產生顯著影響之判斷標準。</w:t>
            </w:r>
          </w:p>
        </w:tc>
      </w:tr>
    </w:tbl>
    <w:p w:rsidR="00DC6ED7" w:rsidRPr="00180FDD" w:rsidRDefault="00DC6ED7" w:rsidP="00B35189">
      <w:pPr>
        <w:kinsoku w:val="0"/>
        <w:overflowPunct w:val="0"/>
        <w:spacing w:line="360" w:lineRule="auto"/>
        <w:jc w:val="both"/>
        <w:textAlignment w:val="center"/>
        <w:rPr>
          <w:rFonts w:eastAsia="標楷體"/>
        </w:rPr>
      </w:pPr>
      <w:r w:rsidRPr="00180FDD">
        <w:rPr>
          <w:rFonts w:eastAsia="標楷體"/>
        </w:rPr>
        <w:lastRenderedPageBreak/>
        <w:t>第三章、負債面</w:t>
      </w:r>
    </w:p>
    <w:tbl>
      <w:tblPr>
        <w:tblW w:w="9360" w:type="dxa"/>
        <w:tblInd w:w="108" w:type="dxa"/>
        <w:tblLook w:val="01E0" w:firstRow="1" w:lastRow="1" w:firstColumn="1" w:lastColumn="1" w:noHBand="0" w:noVBand="0"/>
      </w:tblPr>
      <w:tblGrid>
        <w:gridCol w:w="9360"/>
      </w:tblGrid>
      <w:tr w:rsidR="00180FDD" w:rsidRPr="00180FDD" w:rsidTr="00564A80">
        <w:trPr>
          <w:trHeight w:val="57"/>
        </w:trPr>
        <w:tc>
          <w:tcPr>
            <w:tcW w:w="9360" w:type="dxa"/>
          </w:tcPr>
          <w:p w:rsidR="00DC6ED7" w:rsidRPr="00180FDD" w:rsidRDefault="0097693F" w:rsidP="00B35189">
            <w:pPr>
              <w:kinsoku w:val="0"/>
              <w:overflowPunct w:val="0"/>
              <w:spacing w:line="360" w:lineRule="auto"/>
              <w:ind w:left="720" w:hangingChars="300" w:hanging="720"/>
              <w:jc w:val="both"/>
              <w:textAlignment w:val="center"/>
              <w:rPr>
                <w:rFonts w:eastAsia="標楷體"/>
              </w:rPr>
            </w:pPr>
            <w:r w:rsidRPr="00180FDD">
              <w:rPr>
                <w:rFonts w:eastAsia="標楷體"/>
              </w:rPr>
              <w:t>十五、</w:t>
            </w:r>
            <w:r w:rsidR="00DC6ED7" w:rsidRPr="00180FDD">
              <w:rPr>
                <w:rFonts w:eastAsia="標楷體"/>
              </w:rPr>
              <w:t>簽證精算人員應提供下列各款精算假設之數值及其依據，且檢附在相同比較基礎下精算假設與過去實際經驗之對照表，並說明其合理性。</w:t>
            </w:r>
          </w:p>
          <w:p w:rsidR="00DC6ED7" w:rsidRPr="00180FDD" w:rsidRDefault="00B35189" w:rsidP="00B35189">
            <w:pPr>
              <w:tabs>
                <w:tab w:val="left" w:pos="732"/>
              </w:tabs>
              <w:kinsoku w:val="0"/>
              <w:overflowPunct w:val="0"/>
              <w:spacing w:line="360" w:lineRule="auto"/>
              <w:ind w:leftChars="299" w:left="1164" w:hangingChars="186" w:hanging="446"/>
              <w:jc w:val="both"/>
              <w:textAlignment w:val="center"/>
              <w:rPr>
                <w:rFonts w:eastAsia="標楷體"/>
                <w:kern w:val="0"/>
              </w:rPr>
            </w:pPr>
            <w:r w:rsidRPr="00180FDD">
              <w:rPr>
                <w:rFonts w:eastAsia="標楷體" w:hint="eastAsia"/>
              </w:rPr>
              <w:t>(</w:t>
            </w:r>
            <w:r w:rsidR="00DC6ED7" w:rsidRPr="00180FDD">
              <w:rPr>
                <w:rFonts w:eastAsia="標楷體"/>
              </w:rPr>
              <w:t>一</w:t>
            </w:r>
            <w:r w:rsidRPr="00180FDD">
              <w:rPr>
                <w:rFonts w:eastAsia="標楷體" w:hint="eastAsia"/>
              </w:rPr>
              <w:t>)</w:t>
            </w:r>
            <w:r w:rsidR="00DC6ED7" w:rsidRPr="00180FDD">
              <w:rPr>
                <w:rFonts w:eastAsia="標楷體"/>
                <w:kern w:val="0"/>
              </w:rPr>
              <w:t>脫退率，實際經驗至少提供</w:t>
            </w:r>
            <w:r w:rsidR="00DC6ED7" w:rsidRPr="00180FDD">
              <w:rPr>
                <w:rFonts w:eastAsia="標楷體"/>
                <w:kern w:val="0"/>
              </w:rPr>
              <w:t>3</w:t>
            </w:r>
            <w:r w:rsidR="00DC6ED7" w:rsidRPr="00180FDD">
              <w:rPr>
                <w:rFonts w:eastAsia="標楷體"/>
                <w:kern w:val="0"/>
              </w:rPr>
              <w:t>年</w:t>
            </w:r>
            <w:r w:rsidRPr="00180FDD">
              <w:rPr>
                <w:rFonts w:eastAsia="標楷體" w:hint="eastAsia"/>
                <w:kern w:val="0"/>
              </w:rPr>
              <w:t>(</w:t>
            </w:r>
            <w:r w:rsidR="00DC6ED7" w:rsidRPr="00180FDD">
              <w:rPr>
                <w:rFonts w:eastAsia="標楷體"/>
                <w:kern w:val="0"/>
              </w:rPr>
              <w:t>含</w:t>
            </w:r>
            <w:r w:rsidRPr="00180FDD">
              <w:rPr>
                <w:rFonts w:eastAsia="標楷體" w:hint="eastAsia"/>
                <w:kern w:val="0"/>
              </w:rPr>
              <w:t>)</w:t>
            </w:r>
            <w:r w:rsidR="00DC6ED7" w:rsidRPr="00180FDD">
              <w:rPr>
                <w:rFonts w:eastAsia="標楷體"/>
                <w:kern w:val="0"/>
              </w:rPr>
              <w:t>以上觀察期間之各年度之數值與合計值。</w:t>
            </w:r>
          </w:p>
          <w:p w:rsidR="00DC6ED7" w:rsidRPr="00180FDD" w:rsidRDefault="00B35189" w:rsidP="00B35189">
            <w:pPr>
              <w:tabs>
                <w:tab w:val="left" w:pos="732"/>
              </w:tabs>
              <w:kinsoku w:val="0"/>
              <w:overflowPunct w:val="0"/>
              <w:spacing w:line="360" w:lineRule="auto"/>
              <w:ind w:leftChars="299" w:left="1164" w:hangingChars="186" w:hanging="446"/>
              <w:jc w:val="both"/>
              <w:textAlignment w:val="center"/>
              <w:rPr>
                <w:rFonts w:eastAsia="標楷體"/>
                <w:kern w:val="0"/>
              </w:rPr>
            </w:pPr>
            <w:r w:rsidRPr="00180FDD">
              <w:rPr>
                <w:rFonts w:eastAsia="標楷體" w:hint="eastAsia"/>
              </w:rPr>
              <w:t>(</w:t>
            </w:r>
            <w:r w:rsidR="00DC6ED7" w:rsidRPr="00180FDD">
              <w:rPr>
                <w:rFonts w:eastAsia="標楷體"/>
              </w:rPr>
              <w:t>二</w:t>
            </w:r>
            <w:r w:rsidRPr="00180FDD">
              <w:rPr>
                <w:rFonts w:eastAsia="標楷體" w:hint="eastAsia"/>
              </w:rPr>
              <w:t>)</w:t>
            </w:r>
            <w:r w:rsidR="00DC6ED7" w:rsidRPr="00180FDD">
              <w:rPr>
                <w:rFonts w:eastAsia="標楷體"/>
                <w:kern w:val="0"/>
              </w:rPr>
              <w:t>死亡率，實際經驗提供足夠觀察期間合併後之</w:t>
            </w:r>
            <w:r w:rsidR="00DC6ED7" w:rsidRPr="00180FDD">
              <w:rPr>
                <w:rFonts w:eastAsia="標楷體"/>
                <w:kern w:val="0"/>
              </w:rPr>
              <w:t>10</w:t>
            </w:r>
            <w:r w:rsidR="00DC6ED7" w:rsidRPr="00180FDD">
              <w:rPr>
                <w:rFonts w:eastAsia="標楷體"/>
                <w:kern w:val="0"/>
              </w:rPr>
              <w:t>年</w:t>
            </w:r>
            <w:r w:rsidRPr="00180FDD">
              <w:rPr>
                <w:rFonts w:eastAsia="標楷體" w:hint="eastAsia"/>
                <w:kern w:val="0"/>
              </w:rPr>
              <w:t>(</w:t>
            </w:r>
            <w:r w:rsidR="00DC6ED7" w:rsidRPr="00180FDD">
              <w:rPr>
                <w:rFonts w:eastAsia="標楷體"/>
                <w:kern w:val="0"/>
              </w:rPr>
              <w:t>含</w:t>
            </w:r>
            <w:r w:rsidRPr="00180FDD">
              <w:rPr>
                <w:rFonts w:eastAsia="標楷體" w:hint="eastAsia"/>
                <w:kern w:val="0"/>
              </w:rPr>
              <w:t>)</w:t>
            </w:r>
            <w:r w:rsidR="00DC6ED7" w:rsidRPr="00180FDD">
              <w:rPr>
                <w:rFonts w:eastAsia="標楷體"/>
                <w:kern w:val="0"/>
              </w:rPr>
              <w:t>以上保單年度數值。</w:t>
            </w:r>
          </w:p>
          <w:p w:rsidR="00DC6ED7" w:rsidRPr="00180FDD" w:rsidRDefault="00B35189" w:rsidP="00B35189">
            <w:pPr>
              <w:tabs>
                <w:tab w:val="left" w:pos="732"/>
              </w:tabs>
              <w:kinsoku w:val="0"/>
              <w:overflowPunct w:val="0"/>
              <w:spacing w:line="360" w:lineRule="auto"/>
              <w:ind w:leftChars="299" w:left="1164" w:hangingChars="186" w:hanging="446"/>
              <w:jc w:val="both"/>
              <w:textAlignment w:val="center"/>
              <w:rPr>
                <w:rFonts w:eastAsia="標楷體"/>
                <w:kern w:val="0"/>
              </w:rPr>
            </w:pPr>
            <w:r w:rsidRPr="00180FDD">
              <w:rPr>
                <w:rFonts w:eastAsia="標楷體" w:hint="eastAsia"/>
              </w:rPr>
              <w:t>(</w:t>
            </w:r>
            <w:r w:rsidR="00DC6ED7" w:rsidRPr="00180FDD">
              <w:rPr>
                <w:rFonts w:eastAsia="標楷體"/>
              </w:rPr>
              <w:t>三</w:t>
            </w:r>
            <w:r w:rsidRPr="00180FDD">
              <w:rPr>
                <w:rFonts w:eastAsia="標楷體" w:hint="eastAsia"/>
              </w:rPr>
              <w:t>)</w:t>
            </w:r>
            <w:r w:rsidR="00DC6ED7" w:rsidRPr="00180FDD">
              <w:rPr>
                <w:rFonts w:eastAsia="標楷體"/>
                <w:kern w:val="0"/>
              </w:rPr>
              <w:t>罹病率，實際經驗至少提供</w:t>
            </w:r>
            <w:r w:rsidR="00DC6ED7" w:rsidRPr="00180FDD">
              <w:rPr>
                <w:rFonts w:eastAsia="標楷體"/>
                <w:kern w:val="0"/>
              </w:rPr>
              <w:t>10</w:t>
            </w:r>
            <w:r w:rsidR="00DC6ED7" w:rsidRPr="00180FDD">
              <w:rPr>
                <w:rFonts w:eastAsia="標楷體"/>
                <w:kern w:val="0"/>
              </w:rPr>
              <w:t>年</w:t>
            </w:r>
            <w:r w:rsidRPr="00180FDD">
              <w:rPr>
                <w:rFonts w:eastAsia="標楷體" w:hint="eastAsia"/>
                <w:kern w:val="0"/>
              </w:rPr>
              <w:t>(</w:t>
            </w:r>
            <w:r w:rsidR="00DC6ED7" w:rsidRPr="00180FDD">
              <w:rPr>
                <w:rFonts w:eastAsia="標楷體"/>
                <w:kern w:val="0"/>
              </w:rPr>
              <w:t>含</w:t>
            </w:r>
            <w:r w:rsidRPr="00180FDD">
              <w:rPr>
                <w:rFonts w:eastAsia="標楷體" w:hint="eastAsia"/>
                <w:kern w:val="0"/>
              </w:rPr>
              <w:t>)</w:t>
            </w:r>
            <w:r w:rsidR="00DC6ED7" w:rsidRPr="00180FDD">
              <w:rPr>
                <w:rFonts w:eastAsia="標楷體"/>
                <w:kern w:val="0"/>
              </w:rPr>
              <w:t>以上觀察期間及保單年度之數值與合計值</w:t>
            </w:r>
            <w:r w:rsidRPr="00180FDD">
              <w:rPr>
                <w:rFonts w:eastAsia="標楷體" w:hint="eastAsia"/>
                <w:kern w:val="0"/>
              </w:rPr>
              <w:t>(</w:t>
            </w:r>
            <w:r w:rsidR="00DC6ED7" w:rsidRPr="00180FDD">
              <w:rPr>
                <w:rFonts w:eastAsia="標楷體"/>
                <w:kern w:val="0"/>
              </w:rPr>
              <w:t>含分子及分母之數值</w:t>
            </w:r>
            <w:r w:rsidRPr="00180FDD">
              <w:rPr>
                <w:rFonts w:eastAsia="標楷體" w:hint="eastAsia"/>
                <w:kern w:val="0"/>
              </w:rPr>
              <w:t>)</w:t>
            </w:r>
            <w:r w:rsidR="00DC6ED7" w:rsidRPr="00180FDD">
              <w:rPr>
                <w:rFonts w:eastAsia="標楷體"/>
                <w:kern w:val="0"/>
              </w:rPr>
              <w:t>。</w:t>
            </w:r>
          </w:p>
          <w:p w:rsidR="00DC6ED7" w:rsidRPr="00180FDD" w:rsidRDefault="00B35189" w:rsidP="00B35189">
            <w:pPr>
              <w:tabs>
                <w:tab w:val="left" w:pos="732"/>
              </w:tabs>
              <w:kinsoku w:val="0"/>
              <w:overflowPunct w:val="0"/>
              <w:spacing w:line="360" w:lineRule="auto"/>
              <w:ind w:leftChars="299" w:left="1164" w:hangingChars="186" w:hanging="446"/>
              <w:jc w:val="both"/>
              <w:textAlignment w:val="center"/>
              <w:rPr>
                <w:rFonts w:eastAsia="標楷體"/>
                <w:kern w:val="0"/>
              </w:rPr>
            </w:pPr>
            <w:r w:rsidRPr="00180FDD">
              <w:rPr>
                <w:rFonts w:eastAsia="標楷體" w:hint="eastAsia"/>
              </w:rPr>
              <w:t>(</w:t>
            </w:r>
            <w:r w:rsidR="00DC6ED7" w:rsidRPr="00180FDD">
              <w:rPr>
                <w:rFonts w:eastAsia="標楷體"/>
              </w:rPr>
              <w:t>四</w:t>
            </w:r>
            <w:r w:rsidRPr="00180FDD">
              <w:rPr>
                <w:rFonts w:eastAsia="標楷體" w:hint="eastAsia"/>
              </w:rPr>
              <w:t>)</w:t>
            </w:r>
            <w:r w:rsidR="00DC6ED7" w:rsidRPr="00180FDD">
              <w:rPr>
                <w:rFonts w:eastAsia="標楷體"/>
                <w:kern w:val="0"/>
              </w:rPr>
              <w:t>費用</w:t>
            </w:r>
            <w:r w:rsidRPr="00180FDD">
              <w:rPr>
                <w:rFonts w:eastAsia="標楷體" w:hint="eastAsia"/>
                <w:kern w:val="0"/>
              </w:rPr>
              <w:t>(</w:t>
            </w:r>
            <w:r w:rsidR="00F02A58" w:rsidRPr="00180FDD">
              <w:rPr>
                <w:rFonts w:eastAsia="標楷體"/>
                <w:kern w:val="0"/>
              </w:rPr>
              <w:t>詳指定附表</w:t>
            </w:r>
            <w:r w:rsidR="00F02A58" w:rsidRPr="00180FDD">
              <w:rPr>
                <w:rFonts w:eastAsia="標楷體"/>
                <w:kern w:val="0"/>
              </w:rPr>
              <w:t>14</w:t>
            </w:r>
            <w:r w:rsidRPr="00180FDD">
              <w:rPr>
                <w:rFonts w:eastAsia="標楷體" w:hint="eastAsia"/>
                <w:kern w:val="0"/>
              </w:rPr>
              <w:t>)</w:t>
            </w:r>
            <w:r w:rsidR="00DC6ED7" w:rsidRPr="00180FDD">
              <w:rPr>
                <w:rFonts w:eastAsia="標楷體"/>
                <w:kern w:val="0"/>
              </w:rPr>
              <w:t>。</w:t>
            </w:r>
          </w:p>
          <w:p w:rsidR="00DC6ED7" w:rsidRPr="00180FDD" w:rsidRDefault="00B35189" w:rsidP="00B35189">
            <w:pPr>
              <w:tabs>
                <w:tab w:val="left" w:pos="732"/>
              </w:tabs>
              <w:kinsoku w:val="0"/>
              <w:overflowPunct w:val="0"/>
              <w:spacing w:line="360" w:lineRule="auto"/>
              <w:ind w:leftChars="299" w:left="1164" w:hangingChars="186" w:hanging="446"/>
              <w:jc w:val="both"/>
              <w:textAlignment w:val="center"/>
              <w:rPr>
                <w:rFonts w:eastAsia="標楷體"/>
                <w:kern w:val="0"/>
              </w:rPr>
            </w:pPr>
            <w:r w:rsidRPr="00180FDD">
              <w:rPr>
                <w:rFonts w:eastAsia="標楷體" w:hint="eastAsia"/>
              </w:rPr>
              <w:t>(</w:t>
            </w:r>
            <w:r w:rsidR="00DC6ED7" w:rsidRPr="00180FDD">
              <w:rPr>
                <w:rFonts w:eastAsia="標楷體"/>
              </w:rPr>
              <w:t>五</w:t>
            </w:r>
            <w:r w:rsidRPr="00180FDD">
              <w:rPr>
                <w:rFonts w:eastAsia="標楷體" w:hint="eastAsia"/>
              </w:rPr>
              <w:t>)</w:t>
            </w:r>
            <w:r w:rsidR="00DC6ED7" w:rsidRPr="00180FDD">
              <w:rPr>
                <w:rFonts w:eastAsia="標楷體"/>
                <w:kern w:val="0"/>
              </w:rPr>
              <w:t>分紅</w:t>
            </w:r>
            <w:r w:rsidR="00DC6ED7" w:rsidRPr="00180FDD">
              <w:rPr>
                <w:rFonts w:eastAsia="標楷體"/>
              </w:rPr>
              <w:t>，</w:t>
            </w:r>
            <w:r w:rsidR="00DC6ED7" w:rsidRPr="00180FDD">
              <w:rPr>
                <w:rFonts w:eastAsia="標楷體"/>
                <w:kern w:val="0"/>
              </w:rPr>
              <w:t>包含</w:t>
            </w:r>
            <w:r w:rsidR="00DC6ED7" w:rsidRPr="00180FDD">
              <w:rPr>
                <w:rFonts w:eastAsia="標楷體"/>
              </w:rPr>
              <w:t>強制分紅及自由分紅。</w:t>
            </w:r>
          </w:p>
          <w:p w:rsidR="00DC6ED7" w:rsidRPr="00180FDD" w:rsidRDefault="00B35189" w:rsidP="00B35189">
            <w:pPr>
              <w:tabs>
                <w:tab w:val="left" w:pos="732"/>
              </w:tabs>
              <w:kinsoku w:val="0"/>
              <w:overflowPunct w:val="0"/>
              <w:spacing w:line="360" w:lineRule="auto"/>
              <w:ind w:leftChars="299" w:left="1164" w:hangingChars="186" w:hanging="446"/>
              <w:jc w:val="both"/>
              <w:textAlignment w:val="center"/>
              <w:rPr>
                <w:rFonts w:eastAsia="標楷體"/>
                <w:kern w:val="0"/>
              </w:rPr>
            </w:pPr>
            <w:r w:rsidRPr="00180FDD">
              <w:rPr>
                <w:rFonts w:eastAsia="標楷體" w:hint="eastAsia"/>
              </w:rPr>
              <w:t>(</w:t>
            </w:r>
            <w:r w:rsidR="00DC6ED7" w:rsidRPr="00180FDD">
              <w:rPr>
                <w:rFonts w:eastAsia="標楷體"/>
              </w:rPr>
              <w:t>六</w:t>
            </w:r>
            <w:r w:rsidRPr="00180FDD">
              <w:rPr>
                <w:rFonts w:eastAsia="標楷體" w:hint="eastAsia"/>
              </w:rPr>
              <w:t>)</w:t>
            </w:r>
            <w:r w:rsidR="00DC6ED7" w:rsidRPr="00180FDD">
              <w:rPr>
                <w:rFonts w:eastAsia="標楷體"/>
              </w:rPr>
              <w:t>其他</w:t>
            </w:r>
            <w:r w:rsidR="00DC6ED7" w:rsidRPr="00180FDD">
              <w:rPr>
                <w:rFonts w:eastAsia="標楷體"/>
                <w:kern w:val="0"/>
              </w:rPr>
              <w:t>。</w:t>
            </w:r>
          </w:p>
          <w:p w:rsidR="00AF60D1" w:rsidRPr="00180FDD" w:rsidRDefault="005567FC" w:rsidP="00B35189">
            <w:pPr>
              <w:tabs>
                <w:tab w:val="left" w:pos="979"/>
              </w:tabs>
              <w:kinsoku w:val="0"/>
              <w:overflowPunct w:val="0"/>
              <w:spacing w:line="360" w:lineRule="auto"/>
              <w:ind w:leftChars="300" w:left="720"/>
              <w:jc w:val="both"/>
              <w:textAlignment w:val="center"/>
              <w:rPr>
                <w:rFonts w:eastAsia="標楷體"/>
                <w:snapToGrid w:val="0"/>
              </w:rPr>
            </w:pPr>
            <w:r w:rsidRPr="00180FDD">
              <w:rPr>
                <w:rFonts w:eastAsia="標楷體"/>
                <w:snapToGrid w:val="0"/>
              </w:rPr>
              <w:t>前</w:t>
            </w:r>
            <w:r w:rsidR="00C76A81" w:rsidRPr="00180FDD">
              <w:rPr>
                <w:rFonts w:eastAsia="標楷體"/>
                <w:snapToGrid w:val="0"/>
              </w:rPr>
              <w:t>項</w:t>
            </w:r>
            <w:r w:rsidR="00FB72DE" w:rsidRPr="00180FDD">
              <w:rPr>
                <w:rFonts w:eastAsia="標楷體"/>
                <w:snapToGrid w:val="0"/>
              </w:rPr>
              <w:t>第一款脫退率應分析保險商品因銷售方式導致保戶之</w:t>
            </w:r>
            <w:r w:rsidR="00843408" w:rsidRPr="00180FDD">
              <w:rPr>
                <w:rFonts w:eastAsia="標楷體"/>
                <w:snapToGrid w:val="0"/>
              </w:rPr>
              <w:t>可能脫退情形，包括考量商品特性分析繳費年期、解約費用收取年期及通路別等脫退率經驗值，</w:t>
            </w:r>
            <w:r w:rsidR="0097693F" w:rsidRPr="00180FDD">
              <w:rPr>
                <w:rFonts w:eastAsia="標楷體"/>
                <w:snapToGrid w:val="0"/>
              </w:rPr>
              <w:t>且應分析脫退率納入費率計算之健康險脫退率經驗值，</w:t>
            </w:r>
            <w:r w:rsidR="00843408" w:rsidRPr="00180FDD">
              <w:rPr>
                <w:rFonts w:eastAsia="標楷體"/>
                <w:snapToGrid w:val="0"/>
              </w:rPr>
              <w:t>並應適切整併脫退率經驗值以擬定最適脫退率假設</w:t>
            </w:r>
            <w:r w:rsidR="00FB72DE" w:rsidRPr="00180FDD">
              <w:rPr>
                <w:rFonts w:eastAsia="標楷體"/>
                <w:snapToGrid w:val="0"/>
              </w:rPr>
              <w:t>。</w:t>
            </w:r>
          </w:p>
          <w:p w:rsidR="00DC6ED7" w:rsidRPr="00180FDD" w:rsidRDefault="005567FC" w:rsidP="00B35189">
            <w:pPr>
              <w:tabs>
                <w:tab w:val="left" w:pos="979"/>
              </w:tabs>
              <w:kinsoku w:val="0"/>
              <w:overflowPunct w:val="0"/>
              <w:spacing w:line="360" w:lineRule="auto"/>
              <w:ind w:leftChars="300" w:left="720"/>
              <w:jc w:val="both"/>
              <w:textAlignment w:val="center"/>
              <w:rPr>
                <w:rFonts w:eastAsia="標楷體"/>
                <w:snapToGrid w:val="0"/>
              </w:rPr>
            </w:pPr>
            <w:r w:rsidRPr="00180FDD">
              <w:rPr>
                <w:rFonts w:eastAsia="標楷體"/>
                <w:snapToGrid w:val="0"/>
              </w:rPr>
              <w:t>第一</w:t>
            </w:r>
            <w:r w:rsidR="00935552" w:rsidRPr="00180FDD">
              <w:rPr>
                <w:rFonts w:eastAsia="標楷體"/>
                <w:snapToGrid w:val="0"/>
              </w:rPr>
              <w:t>項第二款死亡率及第三款罹病率</w:t>
            </w:r>
            <w:r w:rsidR="00B35189" w:rsidRPr="00180FDD">
              <w:rPr>
                <w:rFonts w:eastAsia="標楷體" w:hint="eastAsia"/>
                <w:snapToGrid w:val="0"/>
              </w:rPr>
              <w:t>(</w:t>
            </w:r>
            <w:r w:rsidR="0097693F" w:rsidRPr="00180FDD">
              <w:rPr>
                <w:rFonts w:eastAsia="標楷體"/>
                <w:snapToGrid w:val="0"/>
              </w:rPr>
              <w:t>包含短年期附約</w:t>
            </w:r>
            <w:r w:rsidR="00B35189" w:rsidRPr="00180FDD">
              <w:rPr>
                <w:rFonts w:eastAsia="標楷體" w:hint="eastAsia"/>
                <w:snapToGrid w:val="0"/>
              </w:rPr>
              <w:t>)</w:t>
            </w:r>
            <w:r w:rsidR="00935552" w:rsidRPr="00180FDD">
              <w:rPr>
                <w:rFonts w:eastAsia="標楷體"/>
                <w:snapToGrid w:val="0"/>
              </w:rPr>
              <w:t>應考慮</w:t>
            </w:r>
            <w:r w:rsidR="00935552" w:rsidRPr="00180FDD">
              <w:rPr>
                <w:rFonts w:eastAsia="標楷體"/>
                <w:bCs/>
              </w:rPr>
              <w:t>檢選效果消失後之狀況，且在考慮未來發展趨勢時，應排除新契約檢選效果之影響，以訂定最適精算假設</w:t>
            </w:r>
            <w:r w:rsidR="00935552" w:rsidRPr="00180FDD">
              <w:rPr>
                <w:rFonts w:eastAsia="標楷體"/>
                <w:snapToGrid w:val="0"/>
              </w:rPr>
              <w:t>，並應說明</w:t>
            </w:r>
            <w:r w:rsidR="0097693F" w:rsidRPr="00180FDD">
              <w:rPr>
                <w:rFonts w:eastAsia="標楷體"/>
                <w:snapToGrid w:val="0"/>
              </w:rPr>
              <w:t>惡化率趨勢分析及惡化年度</w:t>
            </w:r>
            <w:r w:rsidR="00935552" w:rsidRPr="00180FDD">
              <w:rPr>
                <w:rFonts w:eastAsia="標楷體"/>
                <w:snapToGrid w:val="0"/>
              </w:rPr>
              <w:t>評估方法及相關依據</w:t>
            </w:r>
            <w:r w:rsidR="00DC6ED7" w:rsidRPr="00180FDD">
              <w:rPr>
                <w:rFonts w:eastAsia="標楷體"/>
                <w:snapToGrid w:val="0"/>
              </w:rPr>
              <w:t>。</w:t>
            </w:r>
          </w:p>
          <w:p w:rsidR="00DC6ED7" w:rsidRPr="00180FDD" w:rsidRDefault="00DC6ED7" w:rsidP="00B35189">
            <w:pPr>
              <w:tabs>
                <w:tab w:val="left" w:pos="979"/>
              </w:tabs>
              <w:kinsoku w:val="0"/>
              <w:overflowPunct w:val="0"/>
              <w:spacing w:line="360" w:lineRule="auto"/>
              <w:ind w:leftChars="300" w:left="720"/>
              <w:jc w:val="both"/>
              <w:textAlignment w:val="center"/>
              <w:rPr>
                <w:rFonts w:eastAsia="標楷體"/>
              </w:rPr>
            </w:pPr>
            <w:r w:rsidRPr="00180FDD">
              <w:rPr>
                <w:rFonts w:eastAsia="標楷體"/>
                <w:snapToGrid w:val="0"/>
              </w:rPr>
              <w:t>如因銷售期間不足第一項第一款至第三款規定之年數者，則應提供最長之統計期</w:t>
            </w:r>
            <w:r w:rsidRPr="00180FDD">
              <w:rPr>
                <w:rFonts w:eastAsia="標楷體"/>
                <w:snapToGrid w:val="0"/>
              </w:rPr>
              <w:lastRenderedPageBreak/>
              <w:t>間。</w:t>
            </w:r>
          </w:p>
        </w:tc>
      </w:tr>
      <w:tr w:rsidR="00180FDD" w:rsidRPr="00180FDD" w:rsidTr="00E01844">
        <w:trPr>
          <w:trHeight w:val="1050"/>
        </w:trPr>
        <w:tc>
          <w:tcPr>
            <w:tcW w:w="9360" w:type="dxa"/>
          </w:tcPr>
          <w:p w:rsidR="00DC6ED7" w:rsidRPr="00180FDD" w:rsidRDefault="0097693F" w:rsidP="00B35189">
            <w:pPr>
              <w:kinsoku w:val="0"/>
              <w:overflowPunct w:val="0"/>
              <w:spacing w:line="360" w:lineRule="auto"/>
              <w:ind w:left="720" w:hangingChars="300" w:hanging="720"/>
              <w:jc w:val="both"/>
              <w:textAlignment w:val="center"/>
              <w:rPr>
                <w:rFonts w:eastAsia="標楷體"/>
              </w:rPr>
            </w:pPr>
            <w:r w:rsidRPr="00180FDD">
              <w:rPr>
                <w:rFonts w:eastAsia="標楷體"/>
              </w:rPr>
              <w:lastRenderedPageBreak/>
              <w:t>十六、</w:t>
            </w:r>
            <w:r w:rsidR="00DC6ED7" w:rsidRPr="00180FDD">
              <w:rPr>
                <w:rFonts w:eastAsia="標楷體"/>
              </w:rPr>
              <w:t>費用假設應包括公司整體各項費用，並應說明各通路之銷售佣金與各類獎金，其中通貨膨脹率之假設應採主管機關或其指定機構公布之數值。</w:t>
            </w:r>
          </w:p>
        </w:tc>
      </w:tr>
      <w:tr w:rsidR="00180FDD" w:rsidRPr="00180FDD" w:rsidTr="00E01844">
        <w:trPr>
          <w:trHeight w:val="1050"/>
        </w:trPr>
        <w:tc>
          <w:tcPr>
            <w:tcW w:w="9360" w:type="dxa"/>
          </w:tcPr>
          <w:p w:rsidR="00DC6ED7" w:rsidRPr="00180FDD" w:rsidRDefault="0097693F" w:rsidP="00B35189">
            <w:pPr>
              <w:kinsoku w:val="0"/>
              <w:overflowPunct w:val="0"/>
              <w:spacing w:line="360" w:lineRule="auto"/>
              <w:ind w:left="720" w:hangingChars="300" w:hanging="720"/>
              <w:jc w:val="both"/>
              <w:textAlignment w:val="center"/>
              <w:rPr>
                <w:rFonts w:eastAsia="標楷體"/>
              </w:rPr>
            </w:pPr>
            <w:r w:rsidRPr="00180FDD">
              <w:rPr>
                <w:rFonts w:eastAsia="標楷體"/>
              </w:rPr>
              <w:t>十七、</w:t>
            </w:r>
            <w:r w:rsidR="00DC6ED7" w:rsidRPr="00180FDD">
              <w:rPr>
                <w:rFonts w:eastAsia="標楷體"/>
              </w:rPr>
              <w:t>依費用假設所推算之費用總額應與彙送主管機關之保險年</w:t>
            </w:r>
            <w:r w:rsidR="00B35189" w:rsidRPr="00180FDD">
              <w:rPr>
                <w:rFonts w:eastAsia="標楷體" w:hint="eastAsia"/>
              </w:rPr>
              <w:t>(</w:t>
            </w:r>
            <w:r w:rsidR="00DC6ED7" w:rsidRPr="00180FDD">
              <w:rPr>
                <w:rFonts w:eastAsia="標楷體"/>
              </w:rPr>
              <w:t>月</w:t>
            </w:r>
            <w:r w:rsidR="00B35189" w:rsidRPr="00180FDD">
              <w:rPr>
                <w:rFonts w:eastAsia="標楷體" w:hint="eastAsia"/>
              </w:rPr>
              <w:t>)</w:t>
            </w:r>
            <w:r w:rsidR="00DC6ED7" w:rsidRPr="00180FDD">
              <w:rPr>
                <w:rFonts w:eastAsia="標楷體"/>
              </w:rPr>
              <w:t>報有關實際費用總額核對，並說明其一致性。若依該假設推算之費用總額顯著低於實際費用總額時，應進一步分析未來費用不足之影響。</w:t>
            </w:r>
          </w:p>
        </w:tc>
      </w:tr>
      <w:tr w:rsidR="00180FDD" w:rsidRPr="00180FDD" w:rsidTr="00E01844">
        <w:trPr>
          <w:trHeight w:val="1050"/>
        </w:trPr>
        <w:tc>
          <w:tcPr>
            <w:tcW w:w="9360" w:type="dxa"/>
          </w:tcPr>
          <w:p w:rsidR="00DC6ED7" w:rsidRPr="00180FDD" w:rsidRDefault="0097693F" w:rsidP="00B35189">
            <w:pPr>
              <w:kinsoku w:val="0"/>
              <w:overflowPunct w:val="0"/>
              <w:spacing w:line="360" w:lineRule="auto"/>
              <w:ind w:left="720" w:hangingChars="300" w:hanging="720"/>
              <w:jc w:val="both"/>
              <w:textAlignment w:val="center"/>
              <w:rPr>
                <w:rFonts w:eastAsia="標楷體"/>
              </w:rPr>
            </w:pPr>
            <w:r w:rsidRPr="00180FDD">
              <w:rPr>
                <w:rFonts w:eastAsia="標楷體"/>
              </w:rPr>
              <w:t>十八、</w:t>
            </w:r>
            <w:r w:rsidR="00DC6ED7" w:rsidRPr="00180FDD">
              <w:rPr>
                <w:rFonts w:eastAsia="標楷體"/>
              </w:rPr>
              <w:t>簽證精算人員應載明各簽證項目</w:t>
            </w:r>
            <w:r w:rsidR="00B35189" w:rsidRPr="00180FDD">
              <w:rPr>
                <w:rFonts w:eastAsia="標楷體" w:hint="eastAsia"/>
              </w:rPr>
              <w:t>(</w:t>
            </w:r>
            <w:r w:rsidR="00DC6ED7" w:rsidRPr="00180FDD">
              <w:rPr>
                <w:rFonts w:eastAsia="標楷體"/>
              </w:rPr>
              <w:t>包括保險費率釐訂、責任準備金核算、保單紅利分配及清償能力評估</w:t>
            </w:r>
            <w:r w:rsidR="00B35189" w:rsidRPr="00180FDD">
              <w:rPr>
                <w:rFonts w:eastAsia="標楷體" w:hint="eastAsia"/>
              </w:rPr>
              <w:t>)</w:t>
            </w:r>
            <w:r w:rsidR="00DC6ED7" w:rsidRPr="00180FDD">
              <w:rPr>
                <w:rFonts w:eastAsia="標楷體"/>
              </w:rPr>
              <w:t>之負債面假設，並說明其一致性及合理性。</w:t>
            </w:r>
          </w:p>
        </w:tc>
      </w:tr>
      <w:tr w:rsidR="00180FDD" w:rsidRPr="00180FDD" w:rsidTr="00A5181A">
        <w:trPr>
          <w:trHeight w:val="1432"/>
        </w:trPr>
        <w:tc>
          <w:tcPr>
            <w:tcW w:w="9360" w:type="dxa"/>
          </w:tcPr>
          <w:p w:rsidR="00DC6ED7" w:rsidRPr="00180FDD" w:rsidRDefault="0097693F" w:rsidP="00B35189">
            <w:pPr>
              <w:kinsoku w:val="0"/>
              <w:overflowPunct w:val="0"/>
              <w:spacing w:line="360" w:lineRule="auto"/>
              <w:ind w:left="720" w:hangingChars="300" w:hanging="720"/>
              <w:jc w:val="both"/>
              <w:textAlignment w:val="center"/>
              <w:rPr>
                <w:rFonts w:eastAsia="標楷體"/>
              </w:rPr>
            </w:pPr>
            <w:r w:rsidRPr="00180FDD">
              <w:rPr>
                <w:rFonts w:eastAsia="標楷體"/>
              </w:rPr>
              <w:t>十九、</w:t>
            </w:r>
            <w:r w:rsidR="00DC6ED7" w:rsidRPr="00180FDD">
              <w:rPr>
                <w:rFonts w:eastAsia="標楷體"/>
              </w:rPr>
              <w:t>簽證精算人員應檢附當年度與上年度之負債面假設對照表，除說明所採用之精算軟體外，至少應包括脫退率、死亡率、罹病率、費用及分紅</w:t>
            </w:r>
            <w:r w:rsidR="00B35189" w:rsidRPr="00180FDD">
              <w:rPr>
                <w:rFonts w:eastAsia="標楷體" w:hint="eastAsia"/>
              </w:rPr>
              <w:t>(</w:t>
            </w:r>
            <w:r w:rsidR="00DC6ED7" w:rsidRPr="00180FDD">
              <w:rPr>
                <w:rFonts w:eastAsia="標楷體"/>
              </w:rPr>
              <w:t>包含強制分紅及自由分紅</w:t>
            </w:r>
            <w:r w:rsidR="00B35189" w:rsidRPr="00180FDD">
              <w:rPr>
                <w:rFonts w:eastAsia="標楷體" w:hint="eastAsia"/>
              </w:rPr>
              <w:t>)</w:t>
            </w:r>
            <w:r w:rsidR="00DC6ED7" w:rsidRPr="00180FDD">
              <w:rPr>
                <w:rFonts w:eastAsia="標楷體"/>
              </w:rPr>
              <w:t>等負債面假設。若假設完全相同者，應說明其適當性；若有不一致者，應說明其原因及影響是否顯著。如有顯著影響，應以量化方式評估其影響程度</w:t>
            </w:r>
            <w:r w:rsidR="00B35189" w:rsidRPr="00180FDD">
              <w:rPr>
                <w:rFonts w:eastAsia="標楷體" w:hint="eastAsia"/>
              </w:rPr>
              <w:t>(</w:t>
            </w:r>
            <w:r w:rsidR="00EA0633" w:rsidRPr="00180FDD">
              <w:rPr>
                <w:rFonts w:eastAsia="標楷體"/>
              </w:rPr>
              <w:t>準備金適足性測試之變動分析</w:t>
            </w:r>
            <w:r w:rsidR="00BD5392" w:rsidRPr="00180FDD">
              <w:rPr>
                <w:rFonts w:eastAsia="標楷體"/>
              </w:rPr>
              <w:t>表</w:t>
            </w:r>
            <w:r w:rsidR="00EA0633" w:rsidRPr="00180FDD">
              <w:rPr>
                <w:rFonts w:eastAsia="標楷體"/>
              </w:rPr>
              <w:t>詳指定附表</w:t>
            </w:r>
            <w:r w:rsidR="00F8065B" w:rsidRPr="00180FDD">
              <w:rPr>
                <w:rFonts w:eastAsia="標楷體"/>
              </w:rPr>
              <w:t>15</w:t>
            </w:r>
            <w:r w:rsidR="00B35189" w:rsidRPr="00180FDD">
              <w:rPr>
                <w:rFonts w:eastAsia="標楷體" w:hint="eastAsia"/>
              </w:rPr>
              <w:t>)</w:t>
            </w:r>
            <w:r w:rsidR="00DC6ED7" w:rsidRPr="00180FDD">
              <w:rPr>
                <w:rFonts w:eastAsia="標楷體"/>
              </w:rPr>
              <w:t>。</w:t>
            </w:r>
          </w:p>
          <w:p w:rsidR="00DC6ED7" w:rsidRPr="00180FDD" w:rsidRDefault="00DC6ED7" w:rsidP="00B35189">
            <w:pPr>
              <w:tabs>
                <w:tab w:val="left" w:pos="732"/>
              </w:tabs>
              <w:kinsoku w:val="0"/>
              <w:overflowPunct w:val="0"/>
              <w:spacing w:line="360" w:lineRule="auto"/>
              <w:ind w:leftChars="300" w:left="720"/>
              <w:jc w:val="both"/>
              <w:textAlignment w:val="center"/>
              <w:rPr>
                <w:rFonts w:eastAsia="標楷體"/>
              </w:rPr>
            </w:pPr>
            <w:r w:rsidRPr="00180FDD">
              <w:rPr>
                <w:rFonts w:eastAsia="標楷體"/>
              </w:rPr>
              <w:t>除因法令或主管機關或其指定機構公告之基礎情境而變動外，簽證精算人員應依下列規定辦理：</w:t>
            </w:r>
          </w:p>
          <w:p w:rsidR="00DC6ED7" w:rsidRPr="00180FDD" w:rsidRDefault="00B35189" w:rsidP="00B35189">
            <w:pPr>
              <w:tabs>
                <w:tab w:val="left" w:pos="732"/>
              </w:tabs>
              <w:kinsoku w:val="0"/>
              <w:overflowPunct w:val="0"/>
              <w:spacing w:line="360" w:lineRule="auto"/>
              <w:ind w:leftChars="299" w:left="1167" w:hangingChars="187" w:hanging="449"/>
              <w:jc w:val="both"/>
              <w:textAlignment w:val="center"/>
              <w:rPr>
                <w:rFonts w:eastAsia="標楷體"/>
              </w:rPr>
            </w:pPr>
            <w:r w:rsidRPr="00180FDD">
              <w:rPr>
                <w:rFonts w:eastAsia="標楷體" w:hint="eastAsia"/>
              </w:rPr>
              <w:t>(</w:t>
            </w:r>
            <w:r w:rsidR="00DC6ED7" w:rsidRPr="00180FDD">
              <w:rPr>
                <w:rFonts w:eastAsia="標楷體"/>
              </w:rPr>
              <w:t>一</w:t>
            </w:r>
            <w:r w:rsidRPr="00180FDD">
              <w:rPr>
                <w:rFonts w:eastAsia="標楷體" w:hint="eastAsia"/>
              </w:rPr>
              <w:t>)</w:t>
            </w:r>
            <w:r w:rsidR="00DC6ED7" w:rsidRPr="00180FDD">
              <w:rPr>
                <w:rFonts w:eastAsia="標楷體"/>
              </w:rPr>
              <w:t>若精算假設變動致使</w:t>
            </w:r>
            <w:r w:rsidR="00F56196" w:rsidRPr="00180FDD">
              <w:rPr>
                <w:rFonts w:eastAsia="標楷體"/>
              </w:rPr>
              <w:t>各項簽證項目之</w:t>
            </w:r>
            <w:r w:rsidR="00DC6ED7" w:rsidRPr="00180FDD">
              <w:rPr>
                <w:rFonts w:eastAsia="標楷體"/>
              </w:rPr>
              <w:t>測試結果有顯著影響時，應評估其影響數，且揭露於精算意見書。</w:t>
            </w:r>
          </w:p>
          <w:p w:rsidR="00DC6ED7" w:rsidRPr="00180FDD" w:rsidRDefault="00B35189" w:rsidP="00B35189">
            <w:pPr>
              <w:tabs>
                <w:tab w:val="left" w:pos="732"/>
              </w:tabs>
              <w:kinsoku w:val="0"/>
              <w:overflowPunct w:val="0"/>
              <w:spacing w:line="360" w:lineRule="auto"/>
              <w:ind w:leftChars="299" w:left="1167" w:hangingChars="187" w:hanging="449"/>
              <w:jc w:val="both"/>
              <w:textAlignment w:val="center"/>
              <w:rPr>
                <w:rFonts w:eastAsia="標楷體"/>
              </w:rPr>
            </w:pPr>
            <w:r w:rsidRPr="00180FDD">
              <w:rPr>
                <w:rFonts w:eastAsia="標楷體" w:hint="eastAsia"/>
              </w:rPr>
              <w:t>(</w:t>
            </w:r>
            <w:r w:rsidR="00DC6ED7" w:rsidRPr="00180FDD">
              <w:rPr>
                <w:rFonts w:eastAsia="標楷體"/>
              </w:rPr>
              <w:t>二</w:t>
            </w:r>
            <w:r w:rsidRPr="00180FDD">
              <w:rPr>
                <w:rFonts w:eastAsia="標楷體" w:hint="eastAsia"/>
              </w:rPr>
              <w:t>)</w:t>
            </w:r>
            <w:r w:rsidR="00DC6ED7" w:rsidRPr="00180FDD">
              <w:rPr>
                <w:rFonts w:eastAsia="標楷體"/>
              </w:rPr>
              <w:t>若精算假設變動致使</w:t>
            </w:r>
            <w:r w:rsidR="00F56196" w:rsidRPr="00180FDD">
              <w:rPr>
                <w:rFonts w:eastAsia="標楷體"/>
              </w:rPr>
              <w:t>各項簽證項目之</w:t>
            </w:r>
            <w:r w:rsidR="00DC6ED7" w:rsidRPr="00180FDD">
              <w:rPr>
                <w:rFonts w:eastAsia="標楷體"/>
              </w:rPr>
              <w:t>測試結果更趨保守時，僅須說明該變動之合理性及必要性。</w:t>
            </w:r>
          </w:p>
          <w:p w:rsidR="00AB1FC8" w:rsidRPr="00180FDD" w:rsidRDefault="00AB1FC8" w:rsidP="00B35189">
            <w:pPr>
              <w:tabs>
                <w:tab w:val="left" w:pos="732"/>
              </w:tabs>
              <w:kinsoku w:val="0"/>
              <w:overflowPunct w:val="0"/>
              <w:spacing w:line="360" w:lineRule="auto"/>
              <w:ind w:leftChars="300" w:left="720"/>
              <w:jc w:val="both"/>
              <w:textAlignment w:val="center"/>
              <w:rPr>
                <w:rFonts w:eastAsia="標楷體"/>
              </w:rPr>
            </w:pPr>
            <w:r w:rsidRPr="00180FDD">
              <w:rPr>
                <w:rFonts w:eastAsia="標楷體"/>
              </w:rPr>
              <w:t>簽證精算人員應提出精算假設變動致使各簽證項目測試結果產生顯著影響之判斷標準。</w:t>
            </w:r>
          </w:p>
        </w:tc>
      </w:tr>
    </w:tbl>
    <w:p w:rsidR="00DC6ED7" w:rsidRPr="00180FDD" w:rsidRDefault="00DC6ED7" w:rsidP="00B35189">
      <w:pPr>
        <w:kinsoku w:val="0"/>
        <w:overflowPunct w:val="0"/>
        <w:spacing w:line="360" w:lineRule="auto"/>
        <w:jc w:val="both"/>
        <w:textAlignment w:val="center"/>
        <w:rPr>
          <w:rFonts w:eastAsia="標楷體"/>
        </w:rPr>
      </w:pPr>
      <w:r w:rsidRPr="00180FDD">
        <w:rPr>
          <w:rFonts w:eastAsia="標楷體"/>
        </w:rPr>
        <w:t>第四章、準備金適足性</w:t>
      </w:r>
    </w:p>
    <w:p w:rsidR="00DC6ED7" w:rsidRPr="00180FDD" w:rsidRDefault="00DC6ED7" w:rsidP="00B35189">
      <w:pPr>
        <w:kinsoku w:val="0"/>
        <w:overflowPunct w:val="0"/>
        <w:spacing w:line="360" w:lineRule="auto"/>
        <w:jc w:val="both"/>
        <w:textAlignment w:val="center"/>
        <w:rPr>
          <w:rFonts w:eastAsia="標楷體"/>
        </w:rPr>
      </w:pPr>
      <w:r w:rsidRPr="00180FDD">
        <w:rPr>
          <w:rFonts w:eastAsia="標楷體"/>
        </w:rPr>
        <w:t>第一節、測試範圍</w:t>
      </w:r>
    </w:p>
    <w:tbl>
      <w:tblPr>
        <w:tblW w:w="9360" w:type="dxa"/>
        <w:tblInd w:w="108" w:type="dxa"/>
        <w:tblLook w:val="01E0" w:firstRow="1" w:lastRow="1" w:firstColumn="1" w:lastColumn="1" w:noHBand="0" w:noVBand="0"/>
      </w:tblPr>
      <w:tblGrid>
        <w:gridCol w:w="9360"/>
      </w:tblGrid>
      <w:tr w:rsidR="00180FDD" w:rsidRPr="00180FDD" w:rsidTr="00E01844">
        <w:trPr>
          <w:trHeight w:val="412"/>
        </w:trPr>
        <w:tc>
          <w:tcPr>
            <w:tcW w:w="9360" w:type="dxa"/>
          </w:tcPr>
          <w:p w:rsidR="00DC6ED7"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二十、</w:t>
            </w:r>
            <w:r w:rsidR="00C2287F" w:rsidRPr="00180FDD">
              <w:rPr>
                <w:rFonts w:eastAsia="標楷體"/>
              </w:rPr>
              <w:t>簽證精算人員進行準備金適足性測試前，應檢視</w:t>
            </w:r>
            <w:r w:rsidR="00C2287F" w:rsidRPr="00180FDD">
              <w:rPr>
                <w:rFonts w:eastAsia="標楷體" w:hint="eastAsia"/>
              </w:rPr>
              <w:t>依</w:t>
            </w:r>
            <w:r w:rsidR="00C2287F" w:rsidRPr="00180FDD">
              <w:rPr>
                <w:rFonts w:ascii="標楷體" w:eastAsia="標楷體" w:hAnsi="標楷體" w:hint="eastAsia"/>
              </w:rPr>
              <w:t>「</w:t>
            </w:r>
            <w:r w:rsidR="00C2287F" w:rsidRPr="00180FDD">
              <w:rPr>
                <w:rFonts w:eastAsia="標楷體" w:hint="eastAsia"/>
              </w:rPr>
              <w:t>保險業各種準備金提存辦法</w:t>
            </w:r>
            <w:r w:rsidR="00C2287F" w:rsidRPr="00180FDD">
              <w:rPr>
                <w:rFonts w:ascii="標楷體" w:eastAsia="標楷體" w:hAnsi="標楷體" w:hint="eastAsia"/>
              </w:rPr>
              <w:t>」及相關函令</w:t>
            </w:r>
            <w:r w:rsidR="00C2287F" w:rsidRPr="00180FDD">
              <w:rPr>
                <w:rFonts w:eastAsia="標楷體" w:hint="eastAsia"/>
              </w:rPr>
              <w:t>規定與保險契約有關之</w:t>
            </w:r>
            <w:r w:rsidR="00C2287F" w:rsidRPr="00180FDD">
              <w:rPr>
                <w:rFonts w:eastAsia="標楷體"/>
              </w:rPr>
              <w:t>各種準備金</w:t>
            </w:r>
            <w:r w:rsidR="00515B22" w:rsidRPr="00180FDD">
              <w:rPr>
                <w:rFonts w:eastAsia="標楷體" w:hint="eastAsia"/>
              </w:rPr>
              <w:t>(</w:t>
            </w:r>
            <w:r w:rsidR="00515B22" w:rsidRPr="00180FDD">
              <w:rPr>
                <w:rFonts w:eastAsia="標楷體" w:hint="eastAsia"/>
              </w:rPr>
              <w:t>得不包含外匯價格變動準備</w:t>
            </w:r>
            <w:r w:rsidR="00515B22" w:rsidRPr="00180FDD">
              <w:rPr>
                <w:rFonts w:eastAsia="標楷體" w:hint="eastAsia"/>
              </w:rPr>
              <w:lastRenderedPageBreak/>
              <w:t>金</w:t>
            </w:r>
            <w:r w:rsidR="00515B22" w:rsidRPr="00180FDD">
              <w:rPr>
                <w:rFonts w:eastAsia="標楷體" w:hint="eastAsia"/>
              </w:rPr>
              <w:t>)</w:t>
            </w:r>
            <w:r w:rsidR="00C2287F" w:rsidRPr="00180FDD">
              <w:rPr>
                <w:rFonts w:eastAsia="標楷體"/>
              </w:rPr>
              <w:t>提存金額</w:t>
            </w:r>
            <w:r w:rsidR="00452988" w:rsidRPr="00180FDD">
              <w:rPr>
                <w:rFonts w:eastAsia="標楷體" w:hint="eastAsia"/>
              </w:rPr>
              <w:t>之</w:t>
            </w:r>
            <w:r w:rsidR="00C2287F" w:rsidRPr="00180FDD">
              <w:rPr>
                <w:rFonts w:eastAsia="標楷體"/>
              </w:rPr>
              <w:t>正確性，若法令未規定者應說明其合理性。</w:t>
            </w:r>
          </w:p>
          <w:p w:rsidR="00377D37" w:rsidRPr="00180FDD" w:rsidRDefault="00377D37" w:rsidP="00B35189">
            <w:pPr>
              <w:tabs>
                <w:tab w:val="left" w:pos="732"/>
              </w:tabs>
              <w:kinsoku w:val="0"/>
              <w:overflowPunct w:val="0"/>
              <w:spacing w:line="360" w:lineRule="auto"/>
              <w:ind w:leftChars="400" w:left="960"/>
              <w:jc w:val="both"/>
              <w:textAlignment w:val="center"/>
              <w:rPr>
                <w:rFonts w:eastAsia="標楷體"/>
              </w:rPr>
            </w:pPr>
            <w:r w:rsidRPr="00180FDD">
              <w:rPr>
                <w:rFonts w:eastAsia="標楷體"/>
              </w:rPr>
              <w:t>另針對因併購而反映所承受保險契約公允價值之其他準備，應提供該準備金之歷史變動明細表且說明變動原因。</w:t>
            </w:r>
          </w:p>
          <w:p w:rsidR="00FB72DE" w:rsidRPr="00180FDD" w:rsidRDefault="003C3FDD" w:rsidP="00B35189">
            <w:pPr>
              <w:kinsoku w:val="0"/>
              <w:overflowPunct w:val="0"/>
              <w:spacing w:line="360" w:lineRule="auto"/>
              <w:ind w:left="1200" w:hangingChars="500" w:hanging="1200"/>
              <w:jc w:val="both"/>
              <w:textAlignment w:val="center"/>
              <w:rPr>
                <w:rFonts w:eastAsia="標楷體"/>
              </w:rPr>
            </w:pPr>
            <w:r w:rsidRPr="00180FDD">
              <w:rPr>
                <w:rFonts w:eastAsia="標楷體"/>
              </w:rPr>
              <w:t>二十之一、</w:t>
            </w:r>
            <w:r w:rsidR="00377D37" w:rsidRPr="00180FDD">
              <w:rPr>
                <w:rFonts w:eastAsia="標楷體"/>
              </w:rPr>
              <w:t>簽證精算人員應提供準備金之查核方式及結果，至少應包括檢視準備金提存流程、確認評估範圍之完整性及正確性、確認各項準備金計算方式之正確性及分析整體準備金之合理性與適法性等各項查核，並應</w:t>
            </w:r>
            <w:r w:rsidR="00843408" w:rsidRPr="00180FDD">
              <w:rPr>
                <w:rFonts w:eastAsia="標楷體"/>
              </w:rPr>
              <w:t>載明決算時有效契約總筆數、代表性樣本筆數及抽樣筆數，且應說明抽樣方式如何以有系統性地達到足以涵蓋代表性樣本，其中代表性樣本應考量不同商品、提存利率、保單狀態</w:t>
            </w:r>
            <w:r w:rsidR="00C2287F" w:rsidRPr="00180FDD">
              <w:rPr>
                <w:rFonts w:eastAsia="標楷體" w:hint="eastAsia"/>
              </w:rPr>
              <w:t>(</w:t>
            </w:r>
            <w:r w:rsidR="00843408" w:rsidRPr="00180FDD">
              <w:rPr>
                <w:rFonts w:eastAsia="標楷體"/>
              </w:rPr>
              <w:t>正常件、停效件、契變件、展期件及繳清件等</w:t>
            </w:r>
            <w:r w:rsidR="00C2287F" w:rsidRPr="00180FDD">
              <w:rPr>
                <w:rFonts w:eastAsia="標楷體" w:hint="eastAsia"/>
              </w:rPr>
              <w:t>)</w:t>
            </w:r>
            <w:r w:rsidR="00843408" w:rsidRPr="00180FDD">
              <w:rPr>
                <w:rFonts w:eastAsia="標楷體"/>
              </w:rPr>
              <w:t>、繳費狀態</w:t>
            </w:r>
            <w:r w:rsidR="00C2287F" w:rsidRPr="00180FDD">
              <w:rPr>
                <w:rFonts w:eastAsia="標楷體" w:hint="eastAsia"/>
              </w:rPr>
              <w:t>(</w:t>
            </w:r>
            <w:r w:rsidR="00843408" w:rsidRPr="00180FDD">
              <w:rPr>
                <w:rFonts w:eastAsia="標楷體"/>
              </w:rPr>
              <w:t>繳費期滿、豁免保費、繳費中－繳費年期、繳費別、繳費次數</w:t>
            </w:r>
            <w:r w:rsidR="00C2287F" w:rsidRPr="00180FDD">
              <w:rPr>
                <w:rFonts w:eastAsia="標楷體" w:hint="eastAsia"/>
              </w:rPr>
              <w:t>)</w:t>
            </w:r>
            <w:r w:rsidR="00843408" w:rsidRPr="00180FDD">
              <w:rPr>
                <w:rFonts w:eastAsia="標楷體"/>
              </w:rPr>
              <w:t>、理賠狀態</w:t>
            </w:r>
            <w:r w:rsidR="00C2287F" w:rsidRPr="00180FDD">
              <w:rPr>
                <w:rFonts w:eastAsia="標楷體" w:hint="eastAsia"/>
              </w:rPr>
              <w:t>(</w:t>
            </w:r>
            <w:r w:rsidR="00843408" w:rsidRPr="00180FDD">
              <w:rPr>
                <w:rFonts w:eastAsia="標楷體"/>
              </w:rPr>
              <w:t>無、理賠中</w:t>
            </w:r>
            <w:r w:rsidR="00C2287F" w:rsidRPr="00180FDD">
              <w:rPr>
                <w:rFonts w:eastAsia="標楷體" w:hint="eastAsia"/>
              </w:rPr>
              <w:t>)</w:t>
            </w:r>
            <w:r w:rsidR="00843408" w:rsidRPr="00180FDD">
              <w:rPr>
                <w:rFonts w:eastAsia="標楷體"/>
              </w:rPr>
              <w:t>、年齡、性別等選取因子決定</w:t>
            </w:r>
            <w:r w:rsidR="00FB72DE" w:rsidRPr="00180FDD">
              <w:rPr>
                <w:rFonts w:eastAsia="標楷體"/>
              </w:rPr>
              <w:t>。</w:t>
            </w:r>
          </w:p>
          <w:p w:rsidR="003C3FDD" w:rsidRPr="00180FDD" w:rsidRDefault="00D5410D" w:rsidP="00B35189">
            <w:pPr>
              <w:tabs>
                <w:tab w:val="left" w:pos="732"/>
              </w:tabs>
              <w:kinsoku w:val="0"/>
              <w:overflowPunct w:val="0"/>
              <w:spacing w:line="360" w:lineRule="auto"/>
              <w:ind w:leftChars="500" w:left="1200"/>
              <w:jc w:val="both"/>
              <w:textAlignment w:val="center"/>
              <w:rPr>
                <w:rFonts w:eastAsia="標楷體"/>
              </w:rPr>
            </w:pPr>
            <w:r w:rsidRPr="00180FDD">
              <w:rPr>
                <w:rFonts w:eastAsia="標楷體"/>
              </w:rPr>
              <w:t>簽證精算人員另應載明未曾獨立建置模型核算過之商品名稱及準備金</w:t>
            </w:r>
            <w:r w:rsidR="0052489A" w:rsidRPr="00180FDD">
              <w:rPr>
                <w:rFonts w:eastAsia="標楷體"/>
              </w:rPr>
              <w:t>占</w:t>
            </w:r>
            <w:r w:rsidRPr="00180FDD">
              <w:rPr>
                <w:rFonts w:eastAsia="標楷體"/>
              </w:rPr>
              <w:t>率，並應說明如何確保該等商品準備金適法性</w:t>
            </w:r>
            <w:r w:rsidR="00FB72DE" w:rsidRPr="00180FDD">
              <w:rPr>
                <w:rFonts w:eastAsia="標楷體"/>
              </w:rPr>
              <w:t>。</w:t>
            </w:r>
          </w:p>
        </w:tc>
      </w:tr>
      <w:tr w:rsidR="00180FDD" w:rsidRPr="00180FDD" w:rsidTr="00E01844">
        <w:trPr>
          <w:trHeight w:val="412"/>
        </w:trPr>
        <w:tc>
          <w:tcPr>
            <w:tcW w:w="9360" w:type="dxa"/>
          </w:tcPr>
          <w:p w:rsidR="00DC6ED7"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lastRenderedPageBreak/>
              <w:t>二十一、</w:t>
            </w:r>
            <w:r w:rsidR="00DC6ED7" w:rsidRPr="00180FDD">
              <w:rPr>
                <w:rFonts w:eastAsia="標楷體"/>
              </w:rPr>
              <w:t>簽證精算人員應提供</w:t>
            </w:r>
            <w:r w:rsidR="00106A6B" w:rsidRPr="00180FDD">
              <w:rPr>
                <w:rFonts w:eastAsia="標楷體"/>
              </w:rPr>
              <w:t>國際財務報導準則第</w:t>
            </w:r>
            <w:r w:rsidR="00106A6B" w:rsidRPr="00180FDD">
              <w:rPr>
                <w:rFonts w:eastAsia="標楷體"/>
              </w:rPr>
              <w:t>4</w:t>
            </w:r>
            <w:r w:rsidR="00106A6B" w:rsidRPr="00180FDD">
              <w:rPr>
                <w:rFonts w:eastAsia="標楷體"/>
              </w:rPr>
              <w:t>號</w:t>
            </w:r>
            <w:r w:rsidR="00C2287F" w:rsidRPr="00180FDD">
              <w:rPr>
                <w:rFonts w:eastAsia="標楷體" w:hint="eastAsia"/>
              </w:rPr>
              <w:t>(</w:t>
            </w:r>
            <w:r w:rsidR="00106A6B" w:rsidRPr="00180FDD">
              <w:rPr>
                <w:rFonts w:eastAsia="標楷體"/>
              </w:rPr>
              <w:t>簡稱</w:t>
            </w:r>
            <w:r w:rsidR="00F01907" w:rsidRPr="00180FDD">
              <w:rPr>
                <w:rFonts w:eastAsia="標楷體"/>
              </w:rPr>
              <w:t>IFRS 4</w:t>
            </w:r>
            <w:r w:rsidR="00C2287F" w:rsidRPr="00180FDD">
              <w:rPr>
                <w:rFonts w:eastAsia="標楷體" w:hint="eastAsia"/>
              </w:rPr>
              <w:t>)</w:t>
            </w:r>
            <w:r w:rsidR="00DC6ED7" w:rsidRPr="00180FDD">
              <w:rPr>
                <w:rFonts w:eastAsia="標楷體"/>
              </w:rPr>
              <w:t>負債適足性測試之相關內容，至少應包括下列各款：</w:t>
            </w:r>
          </w:p>
          <w:p w:rsidR="00DC6ED7" w:rsidRPr="00180FDD" w:rsidRDefault="00C2287F" w:rsidP="00C2287F">
            <w:pPr>
              <w:tabs>
                <w:tab w:val="left" w:pos="732"/>
              </w:tabs>
              <w:kinsoku w:val="0"/>
              <w:overflowPunct w:val="0"/>
              <w:spacing w:line="360" w:lineRule="auto"/>
              <w:ind w:leftChars="427" w:left="1450" w:hangingChars="177" w:hanging="425"/>
              <w:jc w:val="both"/>
              <w:textAlignment w:val="center"/>
              <w:rPr>
                <w:rFonts w:eastAsia="標楷體"/>
              </w:rPr>
            </w:pPr>
            <w:r w:rsidRPr="00180FDD">
              <w:rPr>
                <w:rFonts w:eastAsia="標楷體" w:hint="eastAsia"/>
              </w:rPr>
              <w:t>(</w:t>
            </w:r>
            <w:r w:rsidR="00DC6ED7" w:rsidRPr="00180FDD">
              <w:rPr>
                <w:rFonts w:eastAsia="標楷體"/>
              </w:rPr>
              <w:t>一</w:t>
            </w:r>
            <w:r w:rsidRPr="00180FDD">
              <w:rPr>
                <w:rFonts w:eastAsia="標楷體" w:hint="eastAsia"/>
              </w:rPr>
              <w:t>)</w:t>
            </w:r>
            <w:r w:rsidR="00DC6ED7" w:rsidRPr="00180FDD">
              <w:rPr>
                <w:rFonts w:eastAsia="標楷體"/>
              </w:rPr>
              <w:t>納入測試之商品。如有未納入測試之商品，則應提供商品明細並說明顯著保險風險之判斷過程。</w:t>
            </w:r>
          </w:p>
          <w:p w:rsidR="00DC6ED7" w:rsidRPr="00180FDD" w:rsidRDefault="00C2287F" w:rsidP="00C2287F">
            <w:pPr>
              <w:tabs>
                <w:tab w:val="left" w:pos="732"/>
              </w:tabs>
              <w:kinsoku w:val="0"/>
              <w:overflowPunct w:val="0"/>
              <w:spacing w:line="360" w:lineRule="auto"/>
              <w:ind w:leftChars="427" w:left="1450" w:hangingChars="177" w:hanging="425"/>
              <w:jc w:val="both"/>
              <w:textAlignment w:val="center"/>
              <w:rPr>
                <w:rFonts w:eastAsia="標楷體"/>
              </w:rPr>
            </w:pPr>
            <w:r w:rsidRPr="00180FDD">
              <w:rPr>
                <w:rFonts w:eastAsia="標楷體" w:hint="eastAsia"/>
              </w:rPr>
              <w:t>(</w:t>
            </w:r>
            <w:r w:rsidR="00DC6ED7" w:rsidRPr="00180FDD">
              <w:rPr>
                <w:rFonts w:eastAsia="標楷體"/>
              </w:rPr>
              <w:t>二</w:t>
            </w:r>
            <w:r w:rsidRPr="00180FDD">
              <w:rPr>
                <w:rFonts w:eastAsia="標楷體" w:hint="eastAsia"/>
              </w:rPr>
              <w:t>)</w:t>
            </w:r>
            <w:r w:rsidR="00DC6ED7" w:rsidRPr="00180FDD">
              <w:rPr>
                <w:rFonts w:eastAsia="標楷體"/>
              </w:rPr>
              <w:t>相關假設</w:t>
            </w:r>
            <w:r w:rsidR="00313CE7" w:rsidRPr="00180FDD">
              <w:rPr>
                <w:rFonts w:eastAsia="標楷體"/>
              </w:rPr>
              <w:t>。</w:t>
            </w:r>
            <w:r w:rsidR="00120BB9" w:rsidRPr="00180FDD">
              <w:rPr>
                <w:rFonts w:eastAsia="標楷體"/>
              </w:rPr>
              <w:t>假設</w:t>
            </w:r>
            <w:r w:rsidR="00DC6ED7" w:rsidRPr="00180FDD">
              <w:rPr>
                <w:rFonts w:eastAsia="標楷體"/>
              </w:rPr>
              <w:t>調整方式應具有一致性，應以評價日或上一季現時資訊為基礎。</w:t>
            </w:r>
          </w:p>
          <w:p w:rsidR="00DC6ED7" w:rsidRPr="00180FDD" w:rsidRDefault="00C2287F" w:rsidP="00B35189">
            <w:pPr>
              <w:tabs>
                <w:tab w:val="left" w:pos="732"/>
              </w:tabs>
              <w:kinsoku w:val="0"/>
              <w:overflowPunct w:val="0"/>
              <w:spacing w:line="360" w:lineRule="auto"/>
              <w:ind w:leftChars="400" w:left="1680" w:hangingChars="300" w:hanging="720"/>
              <w:jc w:val="both"/>
              <w:textAlignment w:val="center"/>
              <w:rPr>
                <w:rFonts w:eastAsia="標楷體"/>
              </w:rPr>
            </w:pPr>
            <w:r w:rsidRPr="00180FDD">
              <w:rPr>
                <w:rFonts w:eastAsia="標楷體" w:hint="eastAsia"/>
              </w:rPr>
              <w:t>(</w:t>
            </w:r>
            <w:r w:rsidR="00DC6ED7" w:rsidRPr="00180FDD">
              <w:rPr>
                <w:rFonts w:eastAsia="標楷體"/>
              </w:rPr>
              <w:t>三</w:t>
            </w:r>
            <w:r w:rsidRPr="00180FDD">
              <w:rPr>
                <w:rFonts w:eastAsia="標楷體" w:hint="eastAsia"/>
              </w:rPr>
              <w:t>)</w:t>
            </w:r>
            <w:r w:rsidR="00DC6ED7" w:rsidRPr="00180FDD">
              <w:rPr>
                <w:rFonts w:eastAsia="標楷體"/>
              </w:rPr>
              <w:t>測試方法及測試結果。</w:t>
            </w:r>
          </w:p>
          <w:p w:rsidR="00DC6ED7" w:rsidRPr="00180FDD" w:rsidRDefault="00DC6ED7" w:rsidP="00B35189">
            <w:pPr>
              <w:kinsoku w:val="0"/>
              <w:overflowPunct w:val="0"/>
              <w:spacing w:line="360" w:lineRule="auto"/>
              <w:ind w:leftChars="400" w:left="960"/>
              <w:jc w:val="both"/>
              <w:textAlignment w:val="center"/>
              <w:rPr>
                <w:rFonts w:eastAsia="標楷體"/>
              </w:rPr>
            </w:pPr>
            <w:r w:rsidRPr="00180FDD">
              <w:rPr>
                <w:rFonts w:eastAsia="標楷體"/>
              </w:rPr>
              <w:t>前項第二款應說明所採折現率之評估方法、評估結果及其合理性，該合理性說明應包括假設之一致性及變動之合理性。其中折現率評估方法如採公司</w:t>
            </w:r>
            <w:r w:rsidR="00120BB9" w:rsidRPr="00180FDD">
              <w:rPr>
                <w:rFonts w:eastAsia="標楷體"/>
              </w:rPr>
              <w:t>精算簽證報告</w:t>
            </w:r>
            <w:r w:rsidRPr="00180FDD">
              <w:rPr>
                <w:rFonts w:eastAsia="標楷體"/>
              </w:rPr>
              <w:t>最佳估計情境下之投資組合報酬率者，應將基礎利率、資產配置、風險溢酬、違約成本、避險成本等一併納入考量，並應說明各評估時點調整基礎利率之方式及其合理性；如採不同評估方式者，應分析與精算簽證報告所載公司</w:t>
            </w:r>
            <w:r w:rsidRPr="00180FDD">
              <w:rPr>
                <w:rFonts w:eastAsia="標楷體"/>
              </w:rPr>
              <w:lastRenderedPageBreak/>
              <w:t>最佳估計情境下投資組合報酬率之差異及其合理性。</w:t>
            </w:r>
          </w:p>
          <w:p w:rsidR="00DC6ED7" w:rsidRPr="00180FDD" w:rsidRDefault="00DC6ED7" w:rsidP="00C2287F">
            <w:pPr>
              <w:kinsoku w:val="0"/>
              <w:overflowPunct w:val="0"/>
              <w:spacing w:line="360" w:lineRule="auto"/>
              <w:ind w:leftChars="400" w:left="960"/>
              <w:jc w:val="both"/>
              <w:textAlignment w:val="center"/>
              <w:rPr>
                <w:rFonts w:eastAsia="標楷體"/>
              </w:rPr>
            </w:pPr>
            <w:r w:rsidRPr="00180FDD">
              <w:rPr>
                <w:rFonts w:eastAsia="標楷體"/>
              </w:rPr>
              <w:t>第一項測試方法若採用總保費評價法者，應提供各年度現金流量表。</w:t>
            </w:r>
            <w:r w:rsidR="00C2287F" w:rsidRPr="00180FDD">
              <w:rPr>
                <w:rFonts w:eastAsia="標楷體" w:hint="eastAsia"/>
              </w:rPr>
              <w:t>(</w:t>
            </w:r>
            <w:r w:rsidRPr="00180FDD">
              <w:rPr>
                <w:rFonts w:eastAsia="標楷體"/>
              </w:rPr>
              <w:t>詳指定附表</w:t>
            </w:r>
            <w:r w:rsidRPr="00180FDD">
              <w:rPr>
                <w:rFonts w:eastAsia="標楷體"/>
              </w:rPr>
              <w:t>7-B</w:t>
            </w:r>
            <w:r w:rsidR="00C2287F" w:rsidRPr="00180FDD">
              <w:rPr>
                <w:rFonts w:eastAsia="標楷體" w:hint="eastAsia"/>
              </w:rPr>
              <w:t>)</w:t>
            </w:r>
          </w:p>
        </w:tc>
      </w:tr>
      <w:tr w:rsidR="00180FDD" w:rsidRPr="00180FDD" w:rsidTr="00E01844">
        <w:trPr>
          <w:trHeight w:val="412"/>
        </w:trPr>
        <w:tc>
          <w:tcPr>
            <w:tcW w:w="9360" w:type="dxa"/>
          </w:tcPr>
          <w:p w:rsidR="00DC6ED7" w:rsidRPr="00180FDD" w:rsidRDefault="0097693F" w:rsidP="00B35189">
            <w:pPr>
              <w:kinsoku w:val="0"/>
              <w:overflowPunct w:val="0"/>
              <w:spacing w:line="360" w:lineRule="auto"/>
              <w:ind w:left="960" w:hangingChars="400" w:hanging="960"/>
              <w:jc w:val="both"/>
              <w:textAlignment w:val="center"/>
              <w:rPr>
                <w:rFonts w:eastAsia="標楷體"/>
              </w:rPr>
            </w:pPr>
            <w:bookmarkStart w:id="2" w:name="OLE_LINK4"/>
            <w:r w:rsidRPr="00180FDD">
              <w:rPr>
                <w:rFonts w:eastAsia="標楷體"/>
              </w:rPr>
              <w:lastRenderedPageBreak/>
              <w:t>二十二、簽證精算人員</w:t>
            </w:r>
            <w:bookmarkEnd w:id="2"/>
            <w:r w:rsidR="00DC6ED7" w:rsidRPr="00180FDD">
              <w:rPr>
                <w:rFonts w:eastAsia="標楷體"/>
              </w:rPr>
              <w:t>原則上應將公司一般帳戶之全部業務納入準備金適足性測試，如有未納入測試部分，應依人身保險業簽證精算人員實務處理原則</w:t>
            </w:r>
            <w:r w:rsidR="00C2287F" w:rsidRPr="00180FDD">
              <w:rPr>
                <w:rFonts w:eastAsia="標楷體" w:hint="eastAsia"/>
              </w:rPr>
              <w:t>(</w:t>
            </w:r>
            <w:r w:rsidR="00DC6ED7" w:rsidRPr="00180FDD">
              <w:rPr>
                <w:rFonts w:eastAsia="標楷體"/>
              </w:rPr>
              <w:t>以下簡稱精算實務處理原則</w:t>
            </w:r>
            <w:r w:rsidR="00C2287F" w:rsidRPr="00180FDD">
              <w:rPr>
                <w:rFonts w:eastAsia="標楷體" w:hint="eastAsia"/>
              </w:rPr>
              <w:t>)</w:t>
            </w:r>
            <w:r w:rsidR="00DC6ED7" w:rsidRPr="00180FDD">
              <w:rPr>
                <w:rFonts w:eastAsia="標楷體"/>
              </w:rPr>
              <w:t>之規定不得超過百分之十，且應說明原因及其評估方式。</w:t>
            </w:r>
          </w:p>
          <w:p w:rsidR="00DC6ED7" w:rsidRPr="00180FDD" w:rsidRDefault="00DC6ED7" w:rsidP="00C2287F">
            <w:pPr>
              <w:kinsoku w:val="0"/>
              <w:overflowPunct w:val="0"/>
              <w:spacing w:line="360" w:lineRule="auto"/>
              <w:ind w:leftChars="400" w:left="960"/>
              <w:jc w:val="both"/>
              <w:textAlignment w:val="center"/>
              <w:rPr>
                <w:rFonts w:eastAsia="標楷體"/>
              </w:rPr>
            </w:pPr>
            <w:r w:rsidRPr="00180FDD">
              <w:rPr>
                <w:rFonts w:eastAsia="標楷體"/>
              </w:rPr>
              <w:t>簽證精算人員應提供納入準備金適足性測試統計表</w:t>
            </w:r>
            <w:r w:rsidR="00C2287F" w:rsidRPr="00180FDD">
              <w:rPr>
                <w:rFonts w:eastAsia="標楷體" w:hint="eastAsia"/>
              </w:rPr>
              <w:t>(</w:t>
            </w:r>
            <w:r w:rsidRPr="00180FDD">
              <w:rPr>
                <w:rFonts w:eastAsia="標楷體"/>
              </w:rPr>
              <w:t>詳指定附表</w:t>
            </w:r>
            <w:r w:rsidR="00F01907" w:rsidRPr="00180FDD">
              <w:rPr>
                <w:rFonts w:eastAsia="標楷體"/>
              </w:rPr>
              <w:t>4</w:t>
            </w:r>
            <w:r w:rsidR="00C2287F" w:rsidRPr="00180FDD">
              <w:rPr>
                <w:rFonts w:eastAsia="標楷體" w:hint="eastAsia"/>
              </w:rPr>
              <w:t>)</w:t>
            </w:r>
            <w:r w:rsidRPr="00180FDD">
              <w:rPr>
                <w:rFonts w:eastAsia="標楷體"/>
              </w:rPr>
              <w:t>。</w:t>
            </w:r>
          </w:p>
        </w:tc>
      </w:tr>
    </w:tbl>
    <w:p w:rsidR="00DC6ED7" w:rsidRPr="00180FDD" w:rsidRDefault="00DC6ED7" w:rsidP="00B35189">
      <w:pPr>
        <w:kinsoku w:val="0"/>
        <w:overflowPunct w:val="0"/>
        <w:spacing w:line="360" w:lineRule="auto"/>
        <w:jc w:val="both"/>
        <w:textAlignment w:val="center"/>
        <w:rPr>
          <w:rFonts w:eastAsia="標楷體"/>
        </w:rPr>
      </w:pPr>
      <w:r w:rsidRPr="00180FDD">
        <w:rPr>
          <w:rFonts w:eastAsia="標楷體"/>
        </w:rPr>
        <w:t>第二節、測試方法</w:t>
      </w:r>
    </w:p>
    <w:tbl>
      <w:tblPr>
        <w:tblW w:w="9360" w:type="dxa"/>
        <w:tblInd w:w="108" w:type="dxa"/>
        <w:tblLook w:val="01E0" w:firstRow="1" w:lastRow="1" w:firstColumn="1" w:lastColumn="1" w:noHBand="0" w:noVBand="0"/>
      </w:tblPr>
      <w:tblGrid>
        <w:gridCol w:w="9360"/>
      </w:tblGrid>
      <w:tr w:rsidR="00180FDD" w:rsidRPr="00180FDD" w:rsidTr="00E01844">
        <w:trPr>
          <w:trHeight w:val="1069"/>
        </w:trPr>
        <w:tc>
          <w:tcPr>
            <w:tcW w:w="9360" w:type="dxa"/>
          </w:tcPr>
          <w:p w:rsidR="00DC6ED7"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二十三、</w:t>
            </w:r>
            <w:r w:rsidR="00DC6ED7" w:rsidRPr="00180FDD">
              <w:rPr>
                <w:rFonts w:eastAsia="標楷體"/>
              </w:rPr>
              <w:t>準備金適足性之分析應以現金流量測試法為主，如採其他分析方法，應依精算實務處理原則辦理，並說明其原因。</w:t>
            </w:r>
          </w:p>
        </w:tc>
      </w:tr>
      <w:tr w:rsidR="00180FDD" w:rsidRPr="00180FDD" w:rsidTr="00E01844">
        <w:trPr>
          <w:trHeight w:val="1069"/>
        </w:trPr>
        <w:tc>
          <w:tcPr>
            <w:tcW w:w="9360" w:type="dxa"/>
          </w:tcPr>
          <w:p w:rsidR="00DC6ED7" w:rsidRPr="00180FDD" w:rsidRDefault="0097693F" w:rsidP="00B35189">
            <w:pPr>
              <w:kinsoku w:val="0"/>
              <w:overflowPunct w:val="0"/>
              <w:spacing w:line="360" w:lineRule="auto"/>
              <w:ind w:left="960" w:hangingChars="400" w:hanging="960"/>
              <w:jc w:val="both"/>
              <w:textAlignment w:val="center"/>
              <w:rPr>
                <w:rFonts w:eastAsia="標楷體"/>
              </w:rPr>
            </w:pPr>
            <w:bookmarkStart w:id="3" w:name="OLE_LINK6"/>
            <w:r w:rsidRPr="00180FDD">
              <w:rPr>
                <w:rFonts w:eastAsia="標楷體"/>
              </w:rPr>
              <w:t>二十四、簽證精算人員</w:t>
            </w:r>
            <w:bookmarkEnd w:id="3"/>
            <w:r w:rsidR="00DC6ED7" w:rsidRPr="00180FDD">
              <w:rPr>
                <w:rFonts w:eastAsia="標楷體"/>
              </w:rPr>
              <w:t>進行敏感度測試時，得僅以公司最佳估計利率情境或選擇適足性標準情境為基準，依各精算假設之測試幅度進行測試並比較其結果。</w:t>
            </w:r>
          </w:p>
          <w:p w:rsidR="00DC6ED7" w:rsidRPr="00180FDD" w:rsidRDefault="00DC6ED7" w:rsidP="00B35189">
            <w:pPr>
              <w:kinsoku w:val="0"/>
              <w:overflowPunct w:val="0"/>
              <w:spacing w:line="360" w:lineRule="auto"/>
              <w:ind w:leftChars="400" w:left="960"/>
              <w:jc w:val="both"/>
              <w:textAlignment w:val="center"/>
              <w:rPr>
                <w:rFonts w:eastAsia="標楷體"/>
              </w:rPr>
            </w:pPr>
            <w:r w:rsidRPr="00180FDD">
              <w:rPr>
                <w:rFonts w:eastAsia="標楷體"/>
              </w:rPr>
              <w:t>前項各精算假設之測試幅度應依精算實務處理原則辦理，簽證精算人員亦得考慮商品特性自行增加測試幅度。</w:t>
            </w:r>
          </w:p>
        </w:tc>
      </w:tr>
    </w:tbl>
    <w:p w:rsidR="00DC6ED7" w:rsidRPr="00180FDD" w:rsidRDefault="00DC6ED7" w:rsidP="00B35189">
      <w:pPr>
        <w:kinsoku w:val="0"/>
        <w:overflowPunct w:val="0"/>
        <w:spacing w:line="360" w:lineRule="auto"/>
        <w:jc w:val="both"/>
        <w:textAlignment w:val="center"/>
        <w:rPr>
          <w:rFonts w:eastAsia="標楷體"/>
        </w:rPr>
      </w:pPr>
      <w:r w:rsidRPr="00180FDD">
        <w:rPr>
          <w:rFonts w:eastAsia="標楷體"/>
        </w:rPr>
        <w:t>第三節、測試結果及精算意見</w:t>
      </w:r>
    </w:p>
    <w:tbl>
      <w:tblPr>
        <w:tblW w:w="9360" w:type="dxa"/>
        <w:tblInd w:w="108" w:type="dxa"/>
        <w:tblLook w:val="01E0" w:firstRow="1" w:lastRow="1" w:firstColumn="1" w:lastColumn="1" w:noHBand="0" w:noVBand="0"/>
      </w:tblPr>
      <w:tblGrid>
        <w:gridCol w:w="9360"/>
      </w:tblGrid>
      <w:tr w:rsidR="00180FDD" w:rsidRPr="00180FDD" w:rsidTr="00E01844">
        <w:tc>
          <w:tcPr>
            <w:tcW w:w="9360" w:type="dxa"/>
          </w:tcPr>
          <w:p w:rsidR="00DC6ED7"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二十五、</w:t>
            </w:r>
            <w:r w:rsidR="00DC6ED7" w:rsidRPr="00180FDD">
              <w:rPr>
                <w:rFonts w:eastAsia="標楷體"/>
              </w:rPr>
              <w:t>簽證精算人員應就主管機關規定之情境進行測試，且載明不低於條件尾端期望值百分之六十五</w:t>
            </w:r>
            <w:r w:rsidR="00C2287F" w:rsidRPr="00180FDD">
              <w:rPr>
                <w:rFonts w:eastAsia="標楷體" w:hint="eastAsia"/>
              </w:rPr>
              <w:t>(</w:t>
            </w:r>
            <w:r w:rsidR="00DC6ED7" w:rsidRPr="00180FDD">
              <w:rPr>
                <w:rFonts w:eastAsia="標楷體"/>
              </w:rPr>
              <w:t>以下簡稱</w:t>
            </w:r>
            <w:r w:rsidR="00F01907" w:rsidRPr="00180FDD">
              <w:rPr>
                <w:rFonts w:eastAsia="標楷體"/>
              </w:rPr>
              <w:t>CTE65</w:t>
            </w:r>
            <w:r w:rsidR="00C2287F" w:rsidRPr="00180FDD">
              <w:rPr>
                <w:rFonts w:eastAsia="標楷體" w:hint="eastAsia"/>
              </w:rPr>
              <w:t>)</w:t>
            </w:r>
            <w:r w:rsidR="00DC6ED7" w:rsidRPr="00180FDD">
              <w:rPr>
                <w:rFonts w:eastAsia="標楷體"/>
              </w:rPr>
              <w:t>之準備金適足性判斷標準</w:t>
            </w:r>
            <w:bookmarkStart w:id="4" w:name="OLE_LINK8"/>
            <w:r w:rsidR="00DC6ED7" w:rsidRPr="00180FDD">
              <w:rPr>
                <w:rFonts w:eastAsia="標楷體"/>
              </w:rPr>
              <w:t>，</w:t>
            </w:r>
            <w:r w:rsidR="00E352F0" w:rsidRPr="00180FDD">
              <w:rPr>
                <w:rFonts w:eastAsia="標楷體"/>
              </w:rPr>
              <w:t>且</w:t>
            </w:r>
            <w:r w:rsidR="00915BCC" w:rsidRPr="00180FDD">
              <w:rPr>
                <w:rFonts w:eastAsia="標楷體"/>
              </w:rPr>
              <w:t>就</w:t>
            </w:r>
            <w:r w:rsidR="00915BCC" w:rsidRPr="00180FDD">
              <w:rPr>
                <w:rFonts w:eastAsia="標楷體"/>
              </w:rPr>
              <w:t>1</w:t>
            </w:r>
            <w:r w:rsidR="00BD5392" w:rsidRPr="00180FDD">
              <w:rPr>
                <w:rFonts w:eastAsia="標楷體"/>
              </w:rPr>
              <w:t>,</w:t>
            </w:r>
            <w:r w:rsidR="00915BCC" w:rsidRPr="00180FDD">
              <w:rPr>
                <w:rFonts w:eastAsia="標楷體"/>
              </w:rPr>
              <w:t>000</w:t>
            </w:r>
            <w:r w:rsidR="00915BCC" w:rsidRPr="00180FDD">
              <w:rPr>
                <w:rFonts w:eastAsia="標楷體"/>
              </w:rPr>
              <w:t>組情境、主管機關指定情境、</w:t>
            </w:r>
            <w:r w:rsidR="00915BCC" w:rsidRPr="00180FDD">
              <w:rPr>
                <w:rFonts w:eastAsia="標楷體"/>
              </w:rPr>
              <w:t>NY7</w:t>
            </w:r>
            <w:r w:rsidR="00915BCC" w:rsidRPr="00180FDD">
              <w:rPr>
                <w:rFonts w:eastAsia="標楷體"/>
              </w:rPr>
              <w:t>情境、最佳估計情境及極端情境之測試結果及其合理性深入分析並適當表達精算意見</w:t>
            </w:r>
            <w:r w:rsidR="00DC6ED7" w:rsidRPr="00180FDD">
              <w:rPr>
                <w:rFonts w:eastAsia="標楷體"/>
              </w:rPr>
              <w:t>，若有不適足者，</w:t>
            </w:r>
            <w:bookmarkEnd w:id="4"/>
            <w:r w:rsidR="00DC6ED7" w:rsidRPr="00180FDD">
              <w:rPr>
                <w:rFonts w:eastAsia="標楷體"/>
              </w:rPr>
              <w:t>應提供</w:t>
            </w:r>
            <w:r w:rsidR="00B24E37" w:rsidRPr="00180FDD">
              <w:rPr>
                <w:rFonts w:eastAsia="標楷體"/>
              </w:rPr>
              <w:t>簽署</w:t>
            </w:r>
            <w:r w:rsidR="00DC6ED7" w:rsidRPr="00180FDD">
              <w:rPr>
                <w:rFonts w:eastAsia="標楷體"/>
              </w:rPr>
              <w:t>公司達該準備金適足性標準所需立即增提之準備金金額。</w:t>
            </w:r>
          </w:p>
          <w:p w:rsidR="00DC6ED7" w:rsidRPr="00180FDD" w:rsidRDefault="00DC6ED7" w:rsidP="00B35189">
            <w:pPr>
              <w:kinsoku w:val="0"/>
              <w:overflowPunct w:val="0"/>
              <w:spacing w:line="360" w:lineRule="auto"/>
              <w:ind w:leftChars="400" w:left="960"/>
              <w:jc w:val="both"/>
              <w:textAlignment w:val="center"/>
              <w:rPr>
                <w:rFonts w:eastAsia="標楷體"/>
              </w:rPr>
            </w:pPr>
            <w:r w:rsidRPr="00180FDD">
              <w:rPr>
                <w:rFonts w:eastAsia="標楷體"/>
              </w:rPr>
              <w:t>如採額外增加情境進行測試時，應對該測試之結果，適當表達精算意見。主管機關亦得另指定其他情境進一步測試其適足性。</w:t>
            </w:r>
          </w:p>
        </w:tc>
      </w:tr>
      <w:tr w:rsidR="00180FDD" w:rsidRPr="00180FDD" w:rsidTr="00E01844">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二十六、</w:t>
            </w:r>
            <w:r w:rsidR="00547DAF" w:rsidRPr="00180FDD">
              <w:rPr>
                <w:rFonts w:eastAsia="標楷體"/>
              </w:rPr>
              <w:t>簽證精算人員應提供再保前之現金流量測試結果。如再保契約對公司現金流量有重大影響，應同時提供再保之各項假設及再保後之現金流量測試結果。</w:t>
            </w:r>
          </w:p>
          <w:p w:rsidR="00547DAF" w:rsidRPr="00180FDD" w:rsidRDefault="00547DAF" w:rsidP="00B35189">
            <w:pPr>
              <w:kinsoku w:val="0"/>
              <w:overflowPunct w:val="0"/>
              <w:spacing w:line="360" w:lineRule="auto"/>
              <w:ind w:leftChars="400" w:left="960"/>
              <w:jc w:val="both"/>
              <w:textAlignment w:val="center"/>
              <w:rPr>
                <w:rFonts w:eastAsia="標楷體"/>
              </w:rPr>
            </w:pPr>
            <w:r w:rsidRPr="00180FDD">
              <w:rPr>
                <w:rFonts w:eastAsia="標楷體"/>
              </w:rPr>
              <w:t>保險業如有特殊之再保險安排，仍應依保險業辦理再保險分出分入及其他危險</w:t>
            </w:r>
            <w:r w:rsidRPr="00180FDD">
              <w:rPr>
                <w:rFonts w:eastAsia="標楷體"/>
              </w:rPr>
              <w:lastRenderedPageBreak/>
              <w:t>分散機制管理辦法第</w:t>
            </w:r>
            <w:r w:rsidRPr="00180FDD">
              <w:rPr>
                <w:rFonts w:eastAsia="標楷體"/>
              </w:rPr>
              <w:t>10</w:t>
            </w:r>
            <w:r w:rsidRPr="00180FDD">
              <w:rPr>
                <w:rFonts w:eastAsia="標楷體"/>
              </w:rPr>
              <w:t>條第</w:t>
            </w:r>
            <w:r w:rsidRPr="00180FDD">
              <w:rPr>
                <w:rFonts w:eastAsia="標楷體"/>
              </w:rPr>
              <w:t>3</w:t>
            </w:r>
            <w:r w:rsidRPr="00180FDD">
              <w:rPr>
                <w:rFonts w:eastAsia="標楷體"/>
              </w:rPr>
              <w:t>項規定辦理。</w:t>
            </w:r>
          </w:p>
        </w:tc>
      </w:tr>
      <w:tr w:rsidR="00180FDD" w:rsidRPr="00180FDD" w:rsidTr="00E01844">
        <w:tc>
          <w:tcPr>
            <w:tcW w:w="9360" w:type="dxa"/>
          </w:tcPr>
          <w:p w:rsidR="00547DAF" w:rsidRPr="00180FDD" w:rsidRDefault="0097693F" w:rsidP="00C2287F">
            <w:pPr>
              <w:kinsoku w:val="0"/>
              <w:overflowPunct w:val="0"/>
              <w:spacing w:line="360" w:lineRule="auto"/>
              <w:ind w:left="960" w:hangingChars="400" w:hanging="960"/>
              <w:jc w:val="both"/>
              <w:textAlignment w:val="center"/>
              <w:rPr>
                <w:rFonts w:eastAsia="標楷體"/>
              </w:rPr>
            </w:pPr>
            <w:r w:rsidRPr="00180FDD">
              <w:rPr>
                <w:rFonts w:eastAsia="標楷體"/>
              </w:rPr>
              <w:lastRenderedPageBreak/>
              <w:t>二十七、</w:t>
            </w:r>
            <w:r w:rsidR="00547DAF" w:rsidRPr="00180FDD">
              <w:rPr>
                <w:rFonts w:eastAsia="標楷體"/>
              </w:rPr>
              <w:t>簽證精算人員應提供公司之準備金適足性測試結果</w:t>
            </w:r>
            <w:r w:rsidR="00C2287F" w:rsidRPr="00180FDD">
              <w:rPr>
                <w:rFonts w:eastAsia="標楷體" w:hint="eastAsia"/>
              </w:rPr>
              <w:t>(</w:t>
            </w:r>
            <w:r w:rsidR="00547DAF" w:rsidRPr="00180FDD">
              <w:rPr>
                <w:rFonts w:eastAsia="標楷體"/>
              </w:rPr>
              <w:t>詳指定附表</w:t>
            </w:r>
            <w:r w:rsidR="00547DAF" w:rsidRPr="00180FDD">
              <w:rPr>
                <w:rFonts w:eastAsia="標楷體"/>
              </w:rPr>
              <w:t>5</w:t>
            </w:r>
            <w:r w:rsidR="00547DAF" w:rsidRPr="00180FDD">
              <w:rPr>
                <w:rFonts w:eastAsia="標楷體"/>
              </w:rPr>
              <w:t>及指定附表</w:t>
            </w:r>
            <w:r w:rsidR="00F01907" w:rsidRPr="00180FDD">
              <w:rPr>
                <w:rFonts w:eastAsia="標楷體"/>
              </w:rPr>
              <w:t>6</w:t>
            </w:r>
            <w:r w:rsidR="00C2287F" w:rsidRPr="00180FDD">
              <w:rPr>
                <w:rFonts w:eastAsia="標楷體" w:hint="eastAsia"/>
              </w:rPr>
              <w:t>)</w:t>
            </w:r>
            <w:r w:rsidR="00547DAF" w:rsidRPr="00180FDD">
              <w:rPr>
                <w:rFonts w:eastAsia="標楷體"/>
              </w:rPr>
              <w:t>。</w:t>
            </w:r>
          </w:p>
        </w:tc>
      </w:tr>
      <w:tr w:rsidR="00180FDD" w:rsidRPr="00180FDD" w:rsidTr="00E01844">
        <w:tc>
          <w:tcPr>
            <w:tcW w:w="9360" w:type="dxa"/>
          </w:tcPr>
          <w:p w:rsidR="00547DAF" w:rsidRPr="00180FDD" w:rsidRDefault="0097693F" w:rsidP="00C2287F">
            <w:pPr>
              <w:kinsoku w:val="0"/>
              <w:overflowPunct w:val="0"/>
              <w:spacing w:line="360" w:lineRule="auto"/>
              <w:ind w:left="960" w:hangingChars="400" w:hanging="960"/>
              <w:jc w:val="both"/>
              <w:textAlignment w:val="center"/>
              <w:rPr>
                <w:rFonts w:eastAsia="標楷體"/>
              </w:rPr>
            </w:pPr>
            <w:r w:rsidRPr="00180FDD">
              <w:rPr>
                <w:rFonts w:eastAsia="標楷體"/>
              </w:rPr>
              <w:t>二十八、</w:t>
            </w:r>
            <w:r w:rsidR="00547DAF" w:rsidRPr="00180FDD">
              <w:rPr>
                <w:rFonts w:eastAsia="標楷體"/>
              </w:rPr>
              <w:t>簽證精算人員應提供各年度最佳估計及主管機關指定情境下之現金流量測試結果</w:t>
            </w:r>
            <w:r w:rsidR="00C2287F" w:rsidRPr="00180FDD">
              <w:rPr>
                <w:rFonts w:eastAsia="標楷體" w:hint="eastAsia"/>
              </w:rPr>
              <w:t>(</w:t>
            </w:r>
            <w:r w:rsidR="00547DAF" w:rsidRPr="00180FDD">
              <w:rPr>
                <w:rFonts w:eastAsia="標楷體"/>
              </w:rPr>
              <w:t>詳指定附表</w:t>
            </w:r>
            <w:r w:rsidR="00F01907" w:rsidRPr="00180FDD">
              <w:rPr>
                <w:rFonts w:eastAsia="標楷體"/>
              </w:rPr>
              <w:t>7</w:t>
            </w:r>
            <w:r w:rsidR="00C2287F" w:rsidRPr="00180FDD">
              <w:rPr>
                <w:rFonts w:eastAsia="標楷體" w:hint="eastAsia"/>
              </w:rPr>
              <w:t>)</w:t>
            </w:r>
            <w:r w:rsidR="00547DAF" w:rsidRPr="00180FDD">
              <w:rPr>
                <w:rFonts w:eastAsia="標楷體"/>
              </w:rPr>
              <w:t>。</w:t>
            </w:r>
          </w:p>
          <w:p w:rsidR="00180FDD" w:rsidRPr="00180FDD" w:rsidRDefault="00180FDD" w:rsidP="00C2287F">
            <w:pPr>
              <w:kinsoku w:val="0"/>
              <w:overflowPunct w:val="0"/>
              <w:spacing w:line="360" w:lineRule="auto"/>
              <w:ind w:left="960" w:hangingChars="400" w:hanging="960"/>
              <w:jc w:val="both"/>
              <w:textAlignment w:val="center"/>
              <w:rPr>
                <w:rFonts w:eastAsia="標楷體"/>
              </w:rPr>
            </w:pPr>
            <w:r w:rsidRPr="00180FDD">
              <w:rPr>
                <w:rFonts w:eastAsia="標楷體" w:hint="eastAsia"/>
              </w:rPr>
              <w:t>二十八之一、</w:t>
            </w:r>
            <w:r w:rsidRPr="00180FDD">
              <w:rPr>
                <w:rFonts w:eastAsia="標楷體" w:hint="eastAsia"/>
              </w:rPr>
              <w:t>(</w:t>
            </w:r>
            <w:r w:rsidRPr="00180FDD">
              <w:rPr>
                <w:rFonts w:eastAsia="標楷體" w:hint="eastAsia"/>
              </w:rPr>
              <w:t>刪除</w:t>
            </w:r>
            <w:r w:rsidRPr="00180FDD">
              <w:rPr>
                <w:rFonts w:eastAsia="標楷體" w:hint="eastAsia"/>
              </w:rPr>
              <w:t>)</w:t>
            </w:r>
          </w:p>
        </w:tc>
      </w:tr>
    </w:tbl>
    <w:p w:rsidR="00DC6ED7" w:rsidRPr="00180FDD" w:rsidRDefault="00547DAF" w:rsidP="00B35189">
      <w:pPr>
        <w:kinsoku w:val="0"/>
        <w:overflowPunct w:val="0"/>
        <w:spacing w:line="360" w:lineRule="auto"/>
        <w:jc w:val="both"/>
        <w:textAlignment w:val="center"/>
        <w:rPr>
          <w:rFonts w:eastAsia="標楷體"/>
        </w:rPr>
      </w:pPr>
      <w:r w:rsidRPr="00180FDD">
        <w:rPr>
          <w:rFonts w:eastAsia="標楷體"/>
        </w:rPr>
        <w:t>第五章、保險費率釐訂</w:t>
      </w:r>
    </w:p>
    <w:p w:rsidR="00DC6ED7" w:rsidRPr="00180FDD" w:rsidRDefault="00547DAF" w:rsidP="00B35189">
      <w:pPr>
        <w:kinsoku w:val="0"/>
        <w:overflowPunct w:val="0"/>
        <w:spacing w:line="360" w:lineRule="auto"/>
        <w:jc w:val="both"/>
        <w:textAlignment w:val="center"/>
        <w:rPr>
          <w:rFonts w:eastAsia="標楷體"/>
        </w:rPr>
      </w:pPr>
      <w:r w:rsidRPr="00180FDD">
        <w:rPr>
          <w:rFonts w:eastAsia="標楷體"/>
        </w:rPr>
        <w:t>第一節、測試範圍</w:t>
      </w:r>
    </w:p>
    <w:tbl>
      <w:tblPr>
        <w:tblW w:w="9360" w:type="dxa"/>
        <w:tblInd w:w="108" w:type="dxa"/>
        <w:tblLook w:val="01E0" w:firstRow="1" w:lastRow="1" w:firstColumn="1" w:lastColumn="1" w:noHBand="0" w:noVBand="0"/>
      </w:tblPr>
      <w:tblGrid>
        <w:gridCol w:w="9360"/>
      </w:tblGrid>
      <w:tr w:rsidR="00180FDD" w:rsidRPr="00180FDD" w:rsidTr="00E01844">
        <w:trPr>
          <w:trHeight w:val="1195"/>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二十九、</w:t>
            </w:r>
            <w:r w:rsidR="00547DAF" w:rsidRPr="00180FDD">
              <w:rPr>
                <w:rFonts w:eastAsia="標楷體"/>
              </w:rPr>
              <w:t>納入保險費率釐訂檢視之商品應包括：</w:t>
            </w:r>
          </w:p>
          <w:p w:rsidR="00547DAF" w:rsidRPr="00180FDD" w:rsidRDefault="00C2287F" w:rsidP="00C2287F">
            <w:pPr>
              <w:tabs>
                <w:tab w:val="left" w:pos="732"/>
              </w:tabs>
              <w:kinsoku w:val="0"/>
              <w:overflowPunct w:val="0"/>
              <w:spacing w:line="360" w:lineRule="auto"/>
              <w:ind w:leftChars="400" w:left="1452" w:hangingChars="205" w:hanging="492"/>
              <w:jc w:val="both"/>
              <w:textAlignment w:val="center"/>
              <w:rPr>
                <w:rFonts w:eastAsia="標楷體"/>
              </w:rPr>
            </w:pPr>
            <w:r w:rsidRPr="00180FDD">
              <w:rPr>
                <w:rFonts w:eastAsia="標楷體" w:hint="eastAsia"/>
              </w:rPr>
              <w:t>(</w:t>
            </w:r>
            <w:r w:rsidR="00547DAF" w:rsidRPr="00180FDD">
              <w:rPr>
                <w:rFonts w:eastAsia="標楷體"/>
              </w:rPr>
              <w:t>一</w:t>
            </w:r>
            <w:r w:rsidRPr="00180FDD">
              <w:rPr>
                <w:rFonts w:eastAsia="標楷體" w:hint="eastAsia"/>
              </w:rPr>
              <w:t>)</w:t>
            </w:r>
            <w:r w:rsidR="00547DAF" w:rsidRPr="00180FDD">
              <w:rPr>
                <w:rFonts w:eastAsia="標楷體"/>
              </w:rPr>
              <w:t>當年度新契約年繳化保費收入最高前十名</w:t>
            </w:r>
            <w:r w:rsidRPr="00180FDD">
              <w:rPr>
                <w:rFonts w:eastAsia="標楷體" w:hint="eastAsia"/>
              </w:rPr>
              <w:t>(</w:t>
            </w:r>
            <w:r w:rsidR="00547DAF" w:rsidRPr="00180FDD">
              <w:rPr>
                <w:rFonts w:eastAsia="標楷體"/>
              </w:rPr>
              <w:t>不含投資型保險商品</w:t>
            </w:r>
            <w:r w:rsidRPr="00180FDD">
              <w:rPr>
                <w:rFonts w:eastAsia="標楷體" w:hint="eastAsia"/>
              </w:rPr>
              <w:t>)</w:t>
            </w:r>
            <w:r w:rsidR="00547DAF" w:rsidRPr="00180FDD">
              <w:rPr>
                <w:rFonts w:eastAsia="標楷體"/>
              </w:rPr>
              <w:t>或累積占率達百分之九十之</w:t>
            </w:r>
            <w:r w:rsidR="0097693F" w:rsidRPr="00180FDD">
              <w:rPr>
                <w:rFonts w:eastAsia="標楷體"/>
              </w:rPr>
              <w:t>商品</w:t>
            </w:r>
            <w:r w:rsidR="00547DAF" w:rsidRPr="00180FDD">
              <w:rPr>
                <w:rFonts w:eastAsia="標楷體"/>
              </w:rPr>
              <w:t>。</w:t>
            </w:r>
          </w:p>
          <w:p w:rsidR="00547DAF" w:rsidRPr="00180FDD" w:rsidRDefault="00C2287F" w:rsidP="00C2287F">
            <w:pPr>
              <w:tabs>
                <w:tab w:val="left" w:pos="732"/>
              </w:tabs>
              <w:kinsoku w:val="0"/>
              <w:overflowPunct w:val="0"/>
              <w:spacing w:line="360" w:lineRule="auto"/>
              <w:ind w:leftChars="400" w:left="1452" w:hangingChars="205" w:hanging="492"/>
              <w:jc w:val="both"/>
              <w:textAlignment w:val="center"/>
              <w:rPr>
                <w:rFonts w:eastAsia="標楷體"/>
              </w:rPr>
            </w:pPr>
            <w:r w:rsidRPr="00180FDD">
              <w:rPr>
                <w:rFonts w:eastAsia="標楷體" w:hint="eastAsia"/>
              </w:rPr>
              <w:t>(</w:t>
            </w:r>
            <w:r w:rsidR="00547DAF" w:rsidRPr="00180FDD">
              <w:rPr>
                <w:rFonts w:eastAsia="標楷體"/>
              </w:rPr>
              <w:t>二</w:t>
            </w:r>
            <w:r w:rsidRPr="00180FDD">
              <w:rPr>
                <w:rFonts w:eastAsia="標楷體" w:hint="eastAsia"/>
              </w:rPr>
              <w:t>)</w:t>
            </w:r>
            <w:r w:rsidR="00547DAF" w:rsidRPr="00180FDD">
              <w:rPr>
                <w:rFonts w:eastAsia="標楷體"/>
              </w:rPr>
              <w:t>有費率不適足之虞且影響重大之可調整紅利揭露值的商品。</w:t>
            </w:r>
          </w:p>
          <w:p w:rsidR="00547DAF" w:rsidRPr="00180FDD" w:rsidRDefault="00C2287F" w:rsidP="00C2287F">
            <w:pPr>
              <w:tabs>
                <w:tab w:val="left" w:pos="732"/>
              </w:tabs>
              <w:kinsoku w:val="0"/>
              <w:overflowPunct w:val="0"/>
              <w:spacing w:line="360" w:lineRule="auto"/>
              <w:ind w:leftChars="400" w:left="1452" w:hangingChars="205" w:hanging="492"/>
              <w:jc w:val="both"/>
              <w:textAlignment w:val="center"/>
              <w:rPr>
                <w:rFonts w:eastAsia="標楷體"/>
              </w:rPr>
            </w:pPr>
            <w:r w:rsidRPr="00180FDD">
              <w:rPr>
                <w:rFonts w:eastAsia="標楷體" w:hint="eastAsia"/>
              </w:rPr>
              <w:t>(</w:t>
            </w:r>
            <w:r w:rsidR="00547DAF" w:rsidRPr="00180FDD">
              <w:rPr>
                <w:rFonts w:eastAsia="標楷體"/>
              </w:rPr>
              <w:t>三</w:t>
            </w:r>
            <w:r w:rsidRPr="00180FDD">
              <w:rPr>
                <w:rFonts w:eastAsia="標楷體" w:hint="eastAsia"/>
              </w:rPr>
              <w:t>)</w:t>
            </w:r>
            <w:r w:rsidR="00547DAF" w:rsidRPr="00180FDD">
              <w:rPr>
                <w:rFonts w:eastAsia="標楷體"/>
              </w:rPr>
              <w:t>有費率不適足之虞且影響重大之可調整保費的有效契約商品。</w:t>
            </w:r>
          </w:p>
          <w:p w:rsidR="0097693F" w:rsidRPr="00180FDD" w:rsidRDefault="00C2287F" w:rsidP="00C2287F">
            <w:pPr>
              <w:tabs>
                <w:tab w:val="left" w:pos="732"/>
              </w:tabs>
              <w:kinsoku w:val="0"/>
              <w:overflowPunct w:val="0"/>
              <w:spacing w:line="360" w:lineRule="auto"/>
              <w:ind w:leftChars="400" w:left="1452" w:hangingChars="205" w:hanging="492"/>
              <w:jc w:val="both"/>
              <w:textAlignment w:val="center"/>
              <w:rPr>
                <w:rFonts w:eastAsia="標楷體"/>
              </w:rPr>
            </w:pPr>
            <w:r w:rsidRPr="00180FDD">
              <w:rPr>
                <w:rFonts w:eastAsia="標楷體" w:hint="eastAsia"/>
              </w:rPr>
              <w:t>(</w:t>
            </w:r>
            <w:r w:rsidR="0097693F" w:rsidRPr="00180FDD">
              <w:rPr>
                <w:rFonts w:eastAsia="標楷體"/>
              </w:rPr>
              <w:t>四</w:t>
            </w:r>
            <w:r w:rsidRPr="00180FDD">
              <w:rPr>
                <w:rFonts w:eastAsia="標楷體" w:hint="eastAsia"/>
              </w:rPr>
              <w:t>)</w:t>
            </w:r>
            <w:r w:rsidR="0097693F" w:rsidRPr="00180FDD">
              <w:rPr>
                <w:rFonts w:eastAsia="標楷體"/>
              </w:rPr>
              <w:t>以人民幣收付之非投資型保險商品，其新契約年繳化保費收入為最高前十名或累積占率達百分之九十之商品。</w:t>
            </w:r>
          </w:p>
          <w:p w:rsidR="00547DAF" w:rsidRPr="00180FDD" w:rsidRDefault="0097693F" w:rsidP="00B35189">
            <w:pPr>
              <w:kinsoku w:val="0"/>
              <w:overflowPunct w:val="0"/>
              <w:spacing w:line="360" w:lineRule="auto"/>
              <w:ind w:leftChars="400" w:left="960"/>
              <w:jc w:val="both"/>
              <w:textAlignment w:val="center"/>
              <w:rPr>
                <w:rFonts w:eastAsia="標楷體"/>
              </w:rPr>
            </w:pPr>
            <w:r w:rsidRPr="00180FDD">
              <w:rPr>
                <w:rFonts w:eastAsia="標楷體"/>
              </w:rPr>
              <w:t>簽證精算人員應</w:t>
            </w:r>
            <w:r w:rsidR="00547DAF" w:rsidRPr="00180FDD">
              <w:rPr>
                <w:rFonts w:eastAsia="標楷體"/>
              </w:rPr>
              <w:t>提供保險費率釐訂納入測試商品之統計表</w:t>
            </w:r>
            <w:r w:rsidR="00C2287F" w:rsidRPr="00180FDD">
              <w:rPr>
                <w:rFonts w:eastAsia="標楷體" w:hint="eastAsia"/>
              </w:rPr>
              <w:t>(</w:t>
            </w:r>
            <w:r w:rsidR="00547DAF" w:rsidRPr="00180FDD">
              <w:rPr>
                <w:rFonts w:eastAsia="標楷體"/>
              </w:rPr>
              <w:t>詳指定附表</w:t>
            </w:r>
            <w:r w:rsidR="001A4F60" w:rsidRPr="00180FDD">
              <w:rPr>
                <w:rFonts w:eastAsia="標楷體"/>
              </w:rPr>
              <w:t>8</w:t>
            </w:r>
            <w:r w:rsidR="00C2287F" w:rsidRPr="00180FDD">
              <w:rPr>
                <w:rFonts w:eastAsia="標楷體" w:hint="eastAsia"/>
              </w:rPr>
              <w:t>)</w:t>
            </w:r>
            <w:r w:rsidR="00547DAF" w:rsidRPr="00180FDD">
              <w:rPr>
                <w:rFonts w:eastAsia="標楷體"/>
              </w:rPr>
              <w:t>。</w:t>
            </w:r>
          </w:p>
          <w:p w:rsidR="00547DAF" w:rsidRPr="00180FDD" w:rsidRDefault="00120BB9" w:rsidP="00951DE4">
            <w:pPr>
              <w:kinsoku w:val="0"/>
              <w:overflowPunct w:val="0"/>
              <w:spacing w:line="360" w:lineRule="auto"/>
              <w:ind w:leftChars="400" w:left="960"/>
              <w:jc w:val="both"/>
              <w:textAlignment w:val="center"/>
              <w:rPr>
                <w:rFonts w:eastAsia="標楷體"/>
              </w:rPr>
            </w:pPr>
            <w:r w:rsidRPr="00180FDD">
              <w:rPr>
                <w:rFonts w:eastAsia="標楷體"/>
              </w:rPr>
              <w:t>第一項第一款中如已於當年度內</w:t>
            </w:r>
            <w:r w:rsidR="0097693F" w:rsidRPr="00180FDD">
              <w:rPr>
                <w:rFonts w:eastAsia="標楷體"/>
              </w:rPr>
              <w:t>停售且有費率不適足之虞者</w:t>
            </w:r>
            <w:r w:rsidRPr="00180FDD">
              <w:rPr>
                <w:rFonts w:eastAsia="標楷體"/>
              </w:rPr>
              <w:t>，簽證精算人員應說明其停售原因，並分析對公司財務之影響。</w:t>
            </w:r>
          </w:p>
        </w:tc>
      </w:tr>
    </w:tbl>
    <w:p w:rsidR="00547DAF" w:rsidRPr="00180FDD" w:rsidRDefault="00547DAF" w:rsidP="00B35189">
      <w:pPr>
        <w:kinsoku w:val="0"/>
        <w:overflowPunct w:val="0"/>
        <w:spacing w:line="360" w:lineRule="auto"/>
        <w:jc w:val="both"/>
        <w:textAlignment w:val="center"/>
        <w:rPr>
          <w:rFonts w:eastAsia="標楷體"/>
        </w:rPr>
      </w:pPr>
      <w:r w:rsidRPr="00180FDD">
        <w:rPr>
          <w:rFonts w:eastAsia="標楷體"/>
        </w:rPr>
        <w:t>第二節、測試方法</w:t>
      </w:r>
    </w:p>
    <w:tbl>
      <w:tblPr>
        <w:tblW w:w="9360" w:type="dxa"/>
        <w:tblInd w:w="108" w:type="dxa"/>
        <w:tblLook w:val="01E0" w:firstRow="1" w:lastRow="1" w:firstColumn="1" w:lastColumn="1" w:noHBand="0" w:noVBand="0"/>
      </w:tblPr>
      <w:tblGrid>
        <w:gridCol w:w="9360"/>
      </w:tblGrid>
      <w:tr w:rsidR="00180FDD" w:rsidRPr="00180FDD" w:rsidTr="00A5181A">
        <w:trPr>
          <w:trHeight w:val="540"/>
        </w:trPr>
        <w:tc>
          <w:tcPr>
            <w:tcW w:w="9360" w:type="dxa"/>
          </w:tcPr>
          <w:p w:rsidR="00377D37"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三十、</w:t>
            </w:r>
            <w:r w:rsidR="00684355" w:rsidRPr="00180FDD">
              <w:rPr>
                <w:rFonts w:eastAsia="標楷體"/>
              </w:rPr>
              <w:t xml:space="preserve">　</w:t>
            </w:r>
            <w:r w:rsidR="00377D37" w:rsidRPr="00180FDD">
              <w:rPr>
                <w:rFonts w:eastAsia="標楷體"/>
              </w:rPr>
              <w:t>簽證精算人員應說明保險費率釐訂檢視所採用之測試方法，各險商品應增列依據人身保險商品審查應注意事項所規定之最新「主管機關指定之利率」計算邊際利潤，且利率變動型商品應依據人身保險業辦理利率變動型保險商品業務應注意事項之規定，額外增列現金流量測試法之評估，並應以簽證當時之精算假設，檢視銷售中保險商品之費率是否適足，其評價始點應假設於發單前之時點</w:t>
            </w:r>
            <w:r w:rsidR="00C2287F" w:rsidRPr="00180FDD">
              <w:rPr>
                <w:rFonts w:eastAsia="標楷體" w:hint="eastAsia"/>
              </w:rPr>
              <w:t>(</w:t>
            </w:r>
            <w:r w:rsidR="00377D37" w:rsidRPr="00180FDD">
              <w:rPr>
                <w:rFonts w:eastAsia="標楷體"/>
              </w:rPr>
              <w:t>即</w:t>
            </w:r>
            <w:r w:rsidR="001A4F60" w:rsidRPr="00180FDD">
              <w:rPr>
                <w:rFonts w:eastAsia="標楷體"/>
                <w:i/>
              </w:rPr>
              <w:t>t</w:t>
            </w:r>
            <w:r w:rsidR="001A4F60" w:rsidRPr="00180FDD">
              <w:rPr>
                <w:rFonts w:eastAsia="標楷體"/>
              </w:rPr>
              <w:t>＝</w:t>
            </w:r>
            <w:r w:rsidR="00377D37" w:rsidRPr="00180FDD">
              <w:rPr>
                <w:rFonts w:eastAsia="標楷體"/>
              </w:rPr>
              <w:t>0</w:t>
            </w:r>
            <w:r w:rsidR="00377D37" w:rsidRPr="00180FDD">
              <w:rPr>
                <w:rFonts w:eastAsia="標楷體"/>
              </w:rPr>
              <w:t>，其中</w:t>
            </w:r>
            <w:r w:rsidR="00377D37" w:rsidRPr="00180FDD">
              <w:rPr>
                <w:rFonts w:eastAsia="標楷體"/>
                <w:i/>
              </w:rPr>
              <w:t>t</w:t>
            </w:r>
            <w:r w:rsidR="00377D37" w:rsidRPr="00180FDD">
              <w:rPr>
                <w:rFonts w:eastAsia="標楷體"/>
              </w:rPr>
              <w:t>為保單年度</w:t>
            </w:r>
            <w:r w:rsidR="00C2287F" w:rsidRPr="00180FDD">
              <w:rPr>
                <w:rFonts w:eastAsia="標楷體" w:hint="eastAsia"/>
              </w:rPr>
              <w:t>)</w:t>
            </w:r>
            <w:r w:rsidR="00377D37" w:rsidRPr="00180FDD">
              <w:rPr>
                <w:rFonts w:eastAsia="標楷體"/>
              </w:rPr>
              <w:t>。</w:t>
            </w:r>
          </w:p>
          <w:p w:rsidR="00547DAF" w:rsidRPr="00180FDD" w:rsidRDefault="00377D37" w:rsidP="00B35189">
            <w:pPr>
              <w:kinsoku w:val="0"/>
              <w:overflowPunct w:val="0"/>
              <w:spacing w:line="360" w:lineRule="auto"/>
              <w:ind w:leftChars="400" w:left="960"/>
              <w:jc w:val="both"/>
              <w:textAlignment w:val="center"/>
              <w:rPr>
                <w:rFonts w:eastAsia="標楷體"/>
              </w:rPr>
            </w:pPr>
            <w:r w:rsidRPr="00180FDD">
              <w:rPr>
                <w:rFonts w:eastAsia="標楷體"/>
              </w:rPr>
              <w:lastRenderedPageBreak/>
              <w:t>前項保險商品如為分紅保險商品，應檢視依銷售當時揭露最可能紅利金額發放下之保險費率適足性。</w:t>
            </w:r>
          </w:p>
        </w:tc>
      </w:tr>
      <w:tr w:rsidR="00180FDD" w:rsidRPr="00180FDD" w:rsidTr="00E01844">
        <w:trPr>
          <w:trHeight w:val="856"/>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lastRenderedPageBreak/>
              <w:t>三十一、</w:t>
            </w:r>
            <w:r w:rsidR="00547DAF" w:rsidRPr="00180FDD">
              <w:rPr>
                <w:rFonts w:eastAsia="標楷體"/>
              </w:rPr>
              <w:t>簽證精算人員進行保險費率釐訂檢視時，應提供不包含既有資產之新錢投資組合報酬率數值，且提供該數值所隱含之預期資產配置比例及各類資產預期報酬率，並據以說明該數值假設之合理性。</w:t>
            </w:r>
          </w:p>
          <w:p w:rsidR="00547DAF" w:rsidRPr="00180FDD" w:rsidRDefault="0097693F" w:rsidP="00B35189">
            <w:pPr>
              <w:kinsoku w:val="0"/>
              <w:overflowPunct w:val="0"/>
              <w:spacing w:line="360" w:lineRule="auto"/>
              <w:ind w:leftChars="400" w:left="960"/>
              <w:jc w:val="both"/>
              <w:textAlignment w:val="center"/>
              <w:rPr>
                <w:rFonts w:eastAsia="標楷體"/>
              </w:rPr>
            </w:pPr>
            <w:r w:rsidRPr="00180FDD">
              <w:rPr>
                <w:rFonts w:eastAsia="標楷體"/>
              </w:rPr>
              <w:t>對於財務或決策影響重大之商品，</w:t>
            </w:r>
            <w:r w:rsidR="00547DAF" w:rsidRPr="00180FDD">
              <w:rPr>
                <w:rFonts w:eastAsia="標楷體"/>
              </w:rPr>
              <w:t>前項預期資產配置比例及各類資產預期報酬率應與商品送審時之資產配置計畫或資產負債管理計畫相關內容進行差異分析。</w:t>
            </w:r>
          </w:p>
        </w:tc>
      </w:tr>
    </w:tbl>
    <w:p w:rsidR="00547DAF" w:rsidRPr="00180FDD" w:rsidRDefault="00547DAF" w:rsidP="00B35189">
      <w:pPr>
        <w:kinsoku w:val="0"/>
        <w:overflowPunct w:val="0"/>
        <w:spacing w:line="360" w:lineRule="auto"/>
        <w:jc w:val="both"/>
        <w:textAlignment w:val="center"/>
        <w:rPr>
          <w:rFonts w:eastAsia="標楷體"/>
        </w:rPr>
      </w:pPr>
      <w:r w:rsidRPr="00180FDD">
        <w:rPr>
          <w:rFonts w:eastAsia="標楷體"/>
        </w:rPr>
        <w:t>第三節、測試結果及精算意見</w:t>
      </w:r>
    </w:p>
    <w:tbl>
      <w:tblPr>
        <w:tblW w:w="9360" w:type="dxa"/>
        <w:tblInd w:w="108" w:type="dxa"/>
        <w:tblLook w:val="01E0" w:firstRow="1" w:lastRow="1" w:firstColumn="1" w:lastColumn="1" w:noHBand="0" w:noVBand="0"/>
      </w:tblPr>
      <w:tblGrid>
        <w:gridCol w:w="9360"/>
      </w:tblGrid>
      <w:tr w:rsidR="00180FDD" w:rsidRPr="00180FDD" w:rsidTr="00E01844">
        <w:trPr>
          <w:trHeight w:val="1244"/>
        </w:trPr>
        <w:tc>
          <w:tcPr>
            <w:tcW w:w="9360" w:type="dxa"/>
          </w:tcPr>
          <w:p w:rsidR="00F4101A"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三十二、</w:t>
            </w:r>
            <w:r w:rsidR="00547DAF" w:rsidRPr="00180FDD">
              <w:rPr>
                <w:rFonts w:eastAsia="標楷體"/>
              </w:rPr>
              <w:t>簽證精算人員應提供保險商品費率適足性之測試結果，且載明</w:t>
            </w:r>
            <w:r w:rsidR="00EE65EF" w:rsidRPr="00180FDD">
              <w:rPr>
                <w:rFonts w:eastAsia="標楷體"/>
              </w:rPr>
              <w:t>與商品送審當時定價標準具一致性之費率適足性判斷標準</w:t>
            </w:r>
            <w:r w:rsidR="00547DAF" w:rsidRPr="00180FDD">
              <w:rPr>
                <w:rFonts w:eastAsia="標楷體"/>
              </w:rPr>
              <w:t>，並適當表達精算意見。如測試結果顯示費率不足時，應說明其因應方式及具體改善措施。</w:t>
            </w:r>
          </w:p>
          <w:p w:rsidR="00020CD0" w:rsidRPr="00180FDD" w:rsidRDefault="0097693F" w:rsidP="00F4101A">
            <w:pPr>
              <w:kinsoku w:val="0"/>
              <w:overflowPunct w:val="0"/>
              <w:spacing w:line="360" w:lineRule="auto"/>
              <w:ind w:leftChars="400" w:left="960" w:firstLineChars="27" w:firstLine="65"/>
              <w:jc w:val="both"/>
              <w:textAlignment w:val="center"/>
              <w:rPr>
                <w:rFonts w:eastAsia="標楷體"/>
              </w:rPr>
            </w:pPr>
            <w:r w:rsidRPr="00180FDD">
              <w:rPr>
                <w:rFonts w:eastAsia="標楷體"/>
              </w:rPr>
              <w:t>對於財務或決策影響重大之商品</w:t>
            </w:r>
            <w:r w:rsidR="003A478C" w:rsidRPr="00180FDD">
              <w:rPr>
                <w:rFonts w:eastAsia="標楷體"/>
              </w:rPr>
              <w:t>應提出本期與前期及本期與商品送審當時之各項假設及測試結果差異分析。</w:t>
            </w:r>
          </w:p>
        </w:tc>
      </w:tr>
    </w:tbl>
    <w:p w:rsidR="00547DAF" w:rsidRPr="00180FDD" w:rsidRDefault="00547DAF" w:rsidP="00B35189">
      <w:pPr>
        <w:kinsoku w:val="0"/>
        <w:overflowPunct w:val="0"/>
        <w:spacing w:line="360" w:lineRule="auto"/>
        <w:jc w:val="both"/>
        <w:textAlignment w:val="center"/>
        <w:rPr>
          <w:rFonts w:eastAsia="標楷體"/>
        </w:rPr>
      </w:pPr>
      <w:r w:rsidRPr="00180FDD">
        <w:rPr>
          <w:rFonts w:eastAsia="標楷體"/>
        </w:rPr>
        <w:t>第六章、保單紅利分配</w:t>
      </w:r>
    </w:p>
    <w:p w:rsidR="00DC6ED7" w:rsidRPr="00180FDD" w:rsidRDefault="00547DAF" w:rsidP="00B35189">
      <w:pPr>
        <w:kinsoku w:val="0"/>
        <w:overflowPunct w:val="0"/>
        <w:spacing w:line="360" w:lineRule="auto"/>
        <w:jc w:val="both"/>
        <w:textAlignment w:val="center"/>
        <w:rPr>
          <w:rFonts w:eastAsia="標楷體"/>
          <w:b/>
        </w:rPr>
      </w:pPr>
      <w:r w:rsidRPr="00180FDD">
        <w:rPr>
          <w:rFonts w:eastAsia="標楷體"/>
        </w:rPr>
        <w:t>第一節、測試範圍</w:t>
      </w:r>
    </w:p>
    <w:tbl>
      <w:tblPr>
        <w:tblW w:w="9360" w:type="dxa"/>
        <w:tblInd w:w="108" w:type="dxa"/>
        <w:tblLook w:val="01E0" w:firstRow="1" w:lastRow="1" w:firstColumn="1" w:lastColumn="1" w:noHBand="0" w:noVBand="0"/>
      </w:tblPr>
      <w:tblGrid>
        <w:gridCol w:w="9360"/>
      </w:tblGrid>
      <w:tr w:rsidR="00180FDD" w:rsidRPr="00180FDD" w:rsidTr="00E01844">
        <w:trPr>
          <w:trHeight w:val="525"/>
        </w:trPr>
        <w:tc>
          <w:tcPr>
            <w:tcW w:w="9360" w:type="dxa"/>
          </w:tcPr>
          <w:p w:rsidR="00547DAF" w:rsidRPr="00180FDD" w:rsidRDefault="0097693F" w:rsidP="00C2287F">
            <w:pPr>
              <w:kinsoku w:val="0"/>
              <w:overflowPunct w:val="0"/>
              <w:spacing w:line="360" w:lineRule="auto"/>
              <w:ind w:left="960" w:hangingChars="400" w:hanging="960"/>
              <w:jc w:val="both"/>
              <w:textAlignment w:val="center"/>
              <w:rPr>
                <w:rFonts w:eastAsia="標楷體"/>
              </w:rPr>
            </w:pPr>
            <w:r w:rsidRPr="00180FDD">
              <w:rPr>
                <w:rFonts w:eastAsia="標楷體"/>
              </w:rPr>
              <w:t>三十三、</w:t>
            </w:r>
            <w:r w:rsidR="00547DAF" w:rsidRPr="00180FDD">
              <w:rPr>
                <w:rFonts w:eastAsia="標楷體"/>
              </w:rPr>
              <w:t>簽證精算人員應將分紅人壽保險商品之全部業務納入測試，包含該年度將分配紅利及不予分配紅利之分紅保險商品，且應提供納入測試之分紅保險商品明細表</w:t>
            </w:r>
            <w:r w:rsidR="00C2287F" w:rsidRPr="00180FDD">
              <w:rPr>
                <w:rFonts w:eastAsia="標楷體" w:hint="eastAsia"/>
              </w:rPr>
              <w:t>(</w:t>
            </w:r>
            <w:r w:rsidR="00547DAF" w:rsidRPr="00180FDD">
              <w:rPr>
                <w:rFonts w:eastAsia="標楷體"/>
              </w:rPr>
              <w:t>詳指定附表</w:t>
            </w:r>
            <w:r w:rsidR="001A4F60" w:rsidRPr="00180FDD">
              <w:rPr>
                <w:rFonts w:eastAsia="標楷體"/>
              </w:rPr>
              <w:t>9-1</w:t>
            </w:r>
            <w:r w:rsidR="00C2287F" w:rsidRPr="00180FDD">
              <w:rPr>
                <w:rFonts w:eastAsia="標楷體" w:hint="eastAsia"/>
              </w:rPr>
              <w:t>)</w:t>
            </w:r>
            <w:r w:rsidR="00547DAF" w:rsidRPr="00180FDD">
              <w:rPr>
                <w:rFonts w:eastAsia="標楷體"/>
              </w:rPr>
              <w:t>。</w:t>
            </w:r>
          </w:p>
        </w:tc>
      </w:tr>
    </w:tbl>
    <w:p w:rsidR="00547DAF" w:rsidRPr="00180FDD" w:rsidRDefault="00547DAF" w:rsidP="00B35189">
      <w:pPr>
        <w:kinsoku w:val="0"/>
        <w:overflowPunct w:val="0"/>
        <w:spacing w:line="360" w:lineRule="auto"/>
        <w:jc w:val="both"/>
        <w:textAlignment w:val="center"/>
        <w:rPr>
          <w:rFonts w:eastAsia="標楷體"/>
          <w:b/>
        </w:rPr>
      </w:pPr>
      <w:r w:rsidRPr="00180FDD">
        <w:rPr>
          <w:rFonts w:eastAsia="標楷體"/>
        </w:rPr>
        <w:t>第二節、測試方法</w:t>
      </w:r>
    </w:p>
    <w:tbl>
      <w:tblPr>
        <w:tblW w:w="9360" w:type="dxa"/>
        <w:tblInd w:w="108" w:type="dxa"/>
        <w:tblLook w:val="01E0" w:firstRow="1" w:lastRow="1" w:firstColumn="1" w:lastColumn="1" w:noHBand="0" w:noVBand="0"/>
      </w:tblPr>
      <w:tblGrid>
        <w:gridCol w:w="9360"/>
      </w:tblGrid>
      <w:tr w:rsidR="00180FDD" w:rsidRPr="00180FDD" w:rsidTr="00E01844">
        <w:trPr>
          <w:trHeight w:val="525"/>
        </w:trPr>
        <w:tc>
          <w:tcPr>
            <w:tcW w:w="9360" w:type="dxa"/>
          </w:tcPr>
          <w:p w:rsidR="00547DAF" w:rsidRPr="00180FDD" w:rsidRDefault="0097693F" w:rsidP="00C2287F">
            <w:pPr>
              <w:kinsoku w:val="0"/>
              <w:overflowPunct w:val="0"/>
              <w:spacing w:line="360" w:lineRule="auto"/>
              <w:ind w:left="960" w:hangingChars="400" w:hanging="960"/>
              <w:jc w:val="both"/>
              <w:textAlignment w:val="center"/>
              <w:rPr>
                <w:rFonts w:eastAsia="標楷體"/>
              </w:rPr>
            </w:pPr>
            <w:r w:rsidRPr="00180FDD">
              <w:rPr>
                <w:rFonts w:eastAsia="標楷體"/>
              </w:rPr>
              <w:t>三十四、</w:t>
            </w:r>
            <w:r w:rsidR="00547DAF" w:rsidRPr="00180FDD">
              <w:rPr>
                <w:rFonts w:eastAsia="標楷體"/>
              </w:rPr>
              <w:t>簽證精算人員應說明紅利估算方法</w:t>
            </w:r>
            <w:r w:rsidR="00C2287F" w:rsidRPr="00180FDD">
              <w:rPr>
                <w:rFonts w:eastAsia="標楷體" w:hint="eastAsia"/>
              </w:rPr>
              <w:t>(</w:t>
            </w:r>
            <w:r w:rsidR="00547DAF" w:rsidRPr="00180FDD">
              <w:rPr>
                <w:rFonts w:eastAsia="標楷體"/>
              </w:rPr>
              <w:t>詳指定附表</w:t>
            </w:r>
            <w:r w:rsidR="001A4F60" w:rsidRPr="00180FDD">
              <w:rPr>
                <w:rFonts w:eastAsia="標楷體"/>
              </w:rPr>
              <w:t>9-2</w:t>
            </w:r>
            <w:r w:rsidR="00C2287F" w:rsidRPr="00180FDD">
              <w:rPr>
                <w:rFonts w:eastAsia="標楷體" w:hint="eastAsia"/>
              </w:rPr>
              <w:t>)</w:t>
            </w:r>
            <w:r w:rsidR="00547DAF" w:rsidRPr="00180FDD">
              <w:rPr>
                <w:rFonts w:eastAsia="標楷體"/>
              </w:rPr>
              <w:t>與當年度可分配紅利盈餘之決定方式，以及貢獻度之衡量方法、過程與數值結果</w:t>
            </w:r>
            <w:r w:rsidR="00C2287F" w:rsidRPr="00180FDD">
              <w:rPr>
                <w:rFonts w:eastAsia="標楷體" w:hint="eastAsia"/>
              </w:rPr>
              <w:t>(</w:t>
            </w:r>
            <w:r w:rsidR="00547DAF" w:rsidRPr="00180FDD">
              <w:rPr>
                <w:rFonts w:eastAsia="標楷體"/>
              </w:rPr>
              <w:t>詳指定附表</w:t>
            </w:r>
            <w:r w:rsidR="001A4F60" w:rsidRPr="00180FDD">
              <w:rPr>
                <w:rFonts w:eastAsia="標楷體"/>
              </w:rPr>
              <w:t>9-3</w:t>
            </w:r>
            <w:r w:rsidR="00C2287F" w:rsidRPr="00180FDD">
              <w:rPr>
                <w:rFonts w:eastAsia="標楷體" w:hint="eastAsia"/>
              </w:rPr>
              <w:t>)</w:t>
            </w:r>
            <w:r w:rsidR="00547DAF" w:rsidRPr="00180FDD">
              <w:rPr>
                <w:rFonts w:eastAsia="標楷體"/>
              </w:rPr>
              <w:t>，並說明該衡量方法與保單條款約定是否一致，且應詳述個別保單群體如何反</w:t>
            </w:r>
            <w:r w:rsidR="0050030F" w:rsidRPr="00180FDD">
              <w:rPr>
                <w:rFonts w:eastAsia="標楷體"/>
              </w:rPr>
              <w:t>映</w:t>
            </w:r>
            <w:r w:rsidR="00547DAF" w:rsidRPr="00180FDD">
              <w:rPr>
                <w:rFonts w:eastAsia="標楷體"/>
              </w:rPr>
              <w:t>對利源之貢獻度。如對利源之貢獻度為負值時，應說明紅利金額之決定方式。</w:t>
            </w:r>
          </w:p>
        </w:tc>
      </w:tr>
      <w:tr w:rsidR="00180FDD" w:rsidRPr="00180FDD" w:rsidTr="00E01844">
        <w:trPr>
          <w:trHeight w:val="525"/>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三十五、</w:t>
            </w:r>
            <w:r w:rsidR="00547DAF" w:rsidRPr="00180FDD">
              <w:rPr>
                <w:rFonts w:eastAsia="標楷體"/>
              </w:rPr>
              <w:t>簽證精算人員應提供公司因應市場環境波動之長期紅利分配政策，且該政策應</w:t>
            </w:r>
            <w:r w:rsidR="00547DAF" w:rsidRPr="00180FDD">
              <w:rPr>
                <w:rFonts w:eastAsia="標楷體"/>
              </w:rPr>
              <w:lastRenderedPageBreak/>
              <w:t>考量最終賸餘之分紅保單紅利準備全數分配予股東及要保人。</w:t>
            </w:r>
          </w:p>
          <w:p w:rsidR="00547DAF" w:rsidRPr="00180FDD" w:rsidRDefault="00547DAF" w:rsidP="00B35189">
            <w:pPr>
              <w:tabs>
                <w:tab w:val="left" w:pos="972"/>
              </w:tabs>
              <w:kinsoku w:val="0"/>
              <w:overflowPunct w:val="0"/>
              <w:spacing w:line="360" w:lineRule="auto"/>
              <w:ind w:leftChars="400" w:left="960"/>
              <w:jc w:val="both"/>
              <w:textAlignment w:val="center"/>
              <w:rPr>
                <w:rFonts w:eastAsia="標楷體"/>
              </w:rPr>
            </w:pPr>
            <w:r w:rsidRPr="00180FDD">
              <w:rPr>
                <w:rFonts w:eastAsia="標楷體"/>
              </w:rPr>
              <w:t>進行分紅保單之準備金適足性測試時，簽證精算人員應將前項長期紅利分配政策適當反映於該測試中。</w:t>
            </w:r>
          </w:p>
        </w:tc>
      </w:tr>
      <w:tr w:rsidR="00180FDD" w:rsidRPr="00180FDD" w:rsidTr="00E01844">
        <w:trPr>
          <w:trHeight w:val="525"/>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lastRenderedPageBreak/>
              <w:t>三十六、</w:t>
            </w:r>
            <w:r w:rsidR="00547DAF" w:rsidRPr="00180FDD">
              <w:rPr>
                <w:rFonts w:eastAsia="標楷體"/>
              </w:rPr>
              <w:t>簽證精算人員應對分紅保單業務進行清償能力測試。</w:t>
            </w:r>
          </w:p>
          <w:p w:rsidR="00547DAF" w:rsidRPr="00180FDD" w:rsidRDefault="00547DAF" w:rsidP="00B35189">
            <w:pPr>
              <w:tabs>
                <w:tab w:val="left" w:pos="972"/>
              </w:tabs>
              <w:kinsoku w:val="0"/>
              <w:overflowPunct w:val="0"/>
              <w:spacing w:line="360" w:lineRule="auto"/>
              <w:ind w:leftChars="400" w:left="960"/>
              <w:jc w:val="both"/>
              <w:textAlignment w:val="center"/>
              <w:rPr>
                <w:rFonts w:eastAsia="標楷體"/>
              </w:rPr>
            </w:pPr>
            <w:r w:rsidRPr="00180FDD">
              <w:rPr>
                <w:rFonts w:eastAsia="標楷體"/>
              </w:rPr>
              <w:t>前項清償能力測試係指分紅保單之有效契約依公司最適之紅利分配數值，以現金流量測試法或其他符合精算原則之方法，評估可分配紅利盈餘發放後對財務及清償能力之影響。</w:t>
            </w:r>
          </w:p>
          <w:p w:rsidR="00547DAF" w:rsidRPr="00180FDD" w:rsidRDefault="00547DAF" w:rsidP="00B35189">
            <w:pPr>
              <w:tabs>
                <w:tab w:val="left" w:pos="972"/>
              </w:tabs>
              <w:kinsoku w:val="0"/>
              <w:overflowPunct w:val="0"/>
              <w:spacing w:line="360" w:lineRule="auto"/>
              <w:ind w:leftChars="400" w:left="960"/>
              <w:jc w:val="both"/>
              <w:textAlignment w:val="center"/>
              <w:rPr>
                <w:rFonts w:eastAsia="標楷體"/>
              </w:rPr>
            </w:pPr>
            <w:r w:rsidRPr="00180FDD">
              <w:rPr>
                <w:rFonts w:eastAsia="標楷體"/>
              </w:rPr>
              <w:t>進行第一項測試時，簽證精算人員應詳列計算保單紅利之精算假設、方法及公式，同時應檢附假設條件與實際經驗數值之比較表，並說明其合理性且以量化方式評估其偏離程度對清償能力的影響。</w:t>
            </w:r>
          </w:p>
        </w:tc>
      </w:tr>
      <w:tr w:rsidR="00180FDD" w:rsidRPr="00180FDD" w:rsidTr="00E01844">
        <w:trPr>
          <w:trHeight w:val="525"/>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三十七、</w:t>
            </w:r>
            <w:r w:rsidR="00547DAF" w:rsidRPr="00180FDD">
              <w:rPr>
                <w:rFonts w:eastAsia="標楷體"/>
              </w:rPr>
              <w:t>簽證精算人員對於分紅保險商品，應檢附下列各款文件：</w:t>
            </w:r>
          </w:p>
          <w:p w:rsidR="00547DAF" w:rsidRPr="00180FDD" w:rsidRDefault="00C2287F" w:rsidP="00B35189">
            <w:pPr>
              <w:tabs>
                <w:tab w:val="left" w:pos="732"/>
              </w:tabs>
              <w:kinsoku w:val="0"/>
              <w:overflowPunct w:val="0"/>
              <w:spacing w:line="360" w:lineRule="auto"/>
              <w:ind w:leftChars="400" w:left="1680" w:hangingChars="300" w:hanging="720"/>
              <w:jc w:val="both"/>
              <w:textAlignment w:val="center"/>
              <w:rPr>
                <w:rFonts w:eastAsia="標楷體"/>
              </w:rPr>
            </w:pPr>
            <w:r w:rsidRPr="00180FDD">
              <w:rPr>
                <w:rFonts w:eastAsia="標楷體" w:hint="eastAsia"/>
              </w:rPr>
              <w:t>(</w:t>
            </w:r>
            <w:r w:rsidR="00547DAF" w:rsidRPr="00180FDD">
              <w:rPr>
                <w:rFonts w:eastAsia="標楷體"/>
              </w:rPr>
              <w:t>一</w:t>
            </w:r>
            <w:r w:rsidRPr="00180FDD">
              <w:rPr>
                <w:rFonts w:eastAsia="標楷體" w:hint="eastAsia"/>
              </w:rPr>
              <w:t>)</w:t>
            </w:r>
            <w:r w:rsidR="00547DAF" w:rsidRPr="00180FDD">
              <w:rPr>
                <w:rFonts w:eastAsia="標楷體"/>
              </w:rPr>
              <w:t>當年度紅利分配報告。</w:t>
            </w:r>
          </w:p>
          <w:p w:rsidR="00547DAF" w:rsidRPr="00180FDD" w:rsidRDefault="00C2287F" w:rsidP="00C2287F">
            <w:pPr>
              <w:tabs>
                <w:tab w:val="left" w:pos="732"/>
              </w:tabs>
              <w:kinsoku w:val="0"/>
              <w:overflowPunct w:val="0"/>
              <w:spacing w:line="360" w:lineRule="auto"/>
              <w:ind w:leftChars="400" w:left="1452" w:hangingChars="205" w:hanging="492"/>
              <w:jc w:val="both"/>
              <w:textAlignment w:val="center"/>
              <w:rPr>
                <w:rFonts w:eastAsia="標楷體"/>
              </w:rPr>
            </w:pPr>
            <w:r w:rsidRPr="00180FDD">
              <w:rPr>
                <w:rFonts w:eastAsia="標楷體" w:hint="eastAsia"/>
              </w:rPr>
              <w:t>(</w:t>
            </w:r>
            <w:r w:rsidR="00547DAF" w:rsidRPr="00180FDD">
              <w:rPr>
                <w:rFonts w:eastAsia="標楷體"/>
              </w:rPr>
              <w:t>二</w:t>
            </w:r>
            <w:r w:rsidRPr="00180FDD">
              <w:rPr>
                <w:rFonts w:eastAsia="標楷體" w:hint="eastAsia"/>
              </w:rPr>
              <w:t>)</w:t>
            </w:r>
            <w:r w:rsidR="00547DAF" w:rsidRPr="00180FDD">
              <w:rPr>
                <w:rFonts w:eastAsia="標楷體"/>
              </w:rPr>
              <w:t>分紅人壽保險商品財務業務管理辦法、分紅與不分紅人壽保險商品費用分攤與收入分配辦法以及紅利分配辦法。</w:t>
            </w:r>
          </w:p>
          <w:p w:rsidR="00547DAF" w:rsidRPr="00180FDD" w:rsidRDefault="00C2287F" w:rsidP="00C2287F">
            <w:pPr>
              <w:tabs>
                <w:tab w:val="left" w:pos="732"/>
              </w:tabs>
              <w:kinsoku w:val="0"/>
              <w:overflowPunct w:val="0"/>
              <w:spacing w:line="360" w:lineRule="auto"/>
              <w:ind w:leftChars="400" w:left="1452" w:hangingChars="205" w:hanging="492"/>
              <w:jc w:val="both"/>
              <w:textAlignment w:val="center"/>
              <w:rPr>
                <w:rFonts w:eastAsia="標楷體"/>
              </w:rPr>
            </w:pPr>
            <w:r w:rsidRPr="00180FDD">
              <w:rPr>
                <w:rFonts w:eastAsia="標楷體" w:hint="eastAsia"/>
              </w:rPr>
              <w:t>(</w:t>
            </w:r>
            <w:r w:rsidR="00547DAF" w:rsidRPr="00180FDD">
              <w:rPr>
                <w:rFonts w:eastAsia="標楷體"/>
              </w:rPr>
              <w:t>三</w:t>
            </w:r>
            <w:r w:rsidRPr="00180FDD">
              <w:rPr>
                <w:rFonts w:eastAsia="標楷體" w:hint="eastAsia"/>
              </w:rPr>
              <w:t>)</w:t>
            </w:r>
            <w:r w:rsidR="00547DAF" w:rsidRPr="00180FDD">
              <w:rPr>
                <w:rFonts w:eastAsia="標楷體"/>
              </w:rPr>
              <w:t>簽證年度分紅業務資產負債表及損益表。</w:t>
            </w:r>
          </w:p>
          <w:p w:rsidR="00547DAF" w:rsidRPr="00180FDD" w:rsidRDefault="00C2287F" w:rsidP="00C2287F">
            <w:pPr>
              <w:tabs>
                <w:tab w:val="left" w:pos="732"/>
              </w:tabs>
              <w:kinsoku w:val="0"/>
              <w:overflowPunct w:val="0"/>
              <w:spacing w:line="360" w:lineRule="auto"/>
              <w:ind w:leftChars="400" w:left="1452" w:hangingChars="205" w:hanging="492"/>
              <w:jc w:val="both"/>
              <w:textAlignment w:val="center"/>
              <w:rPr>
                <w:rFonts w:eastAsia="標楷體"/>
              </w:rPr>
            </w:pPr>
            <w:r w:rsidRPr="00180FDD">
              <w:rPr>
                <w:rFonts w:eastAsia="標楷體" w:hint="eastAsia"/>
              </w:rPr>
              <w:t>(</w:t>
            </w:r>
            <w:r w:rsidR="00547DAF" w:rsidRPr="00180FDD">
              <w:rPr>
                <w:rFonts w:eastAsia="標楷體"/>
              </w:rPr>
              <w:t>四</w:t>
            </w:r>
            <w:r w:rsidRPr="00180FDD">
              <w:rPr>
                <w:rFonts w:eastAsia="標楷體" w:hint="eastAsia"/>
              </w:rPr>
              <w:t>)</w:t>
            </w:r>
            <w:r w:rsidR="00547DAF" w:rsidRPr="00180FDD">
              <w:rPr>
                <w:rFonts w:eastAsia="標楷體"/>
              </w:rPr>
              <w:t>計算說明書載明可能紅利金額所採用之精算假設、公式及其依據。</w:t>
            </w:r>
          </w:p>
        </w:tc>
      </w:tr>
    </w:tbl>
    <w:p w:rsidR="00547DAF" w:rsidRPr="00180FDD" w:rsidRDefault="00547DAF" w:rsidP="00B35189">
      <w:pPr>
        <w:kinsoku w:val="0"/>
        <w:overflowPunct w:val="0"/>
        <w:spacing w:line="360" w:lineRule="auto"/>
        <w:jc w:val="both"/>
        <w:textAlignment w:val="center"/>
        <w:rPr>
          <w:rFonts w:eastAsia="標楷體"/>
          <w:b/>
        </w:rPr>
      </w:pPr>
      <w:r w:rsidRPr="00180FDD">
        <w:rPr>
          <w:rFonts w:eastAsia="標楷體"/>
        </w:rPr>
        <w:t>第三節、測試結果及精算意見</w:t>
      </w:r>
    </w:p>
    <w:tbl>
      <w:tblPr>
        <w:tblW w:w="9360" w:type="dxa"/>
        <w:tblInd w:w="108" w:type="dxa"/>
        <w:tblLook w:val="01E0" w:firstRow="1" w:lastRow="1" w:firstColumn="1" w:lastColumn="1" w:noHBand="0" w:noVBand="0"/>
      </w:tblPr>
      <w:tblGrid>
        <w:gridCol w:w="9360"/>
      </w:tblGrid>
      <w:tr w:rsidR="00180FDD" w:rsidRPr="00180FDD" w:rsidTr="00E01844">
        <w:trPr>
          <w:trHeight w:val="710"/>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三十八、</w:t>
            </w:r>
            <w:r w:rsidR="00547DAF" w:rsidRPr="00180FDD">
              <w:rPr>
                <w:rFonts w:eastAsia="標楷體"/>
              </w:rPr>
              <w:t>簽證精算人員應載明分紅保單業務清償能力測試之判斷標準及測試結果</w:t>
            </w:r>
            <w:r w:rsidR="00C2287F" w:rsidRPr="00180FDD">
              <w:rPr>
                <w:rFonts w:eastAsia="標楷體" w:hint="eastAsia"/>
              </w:rPr>
              <w:t>(</w:t>
            </w:r>
            <w:r w:rsidR="00547DAF" w:rsidRPr="00180FDD">
              <w:rPr>
                <w:rFonts w:eastAsia="標楷體"/>
              </w:rPr>
              <w:t>詳指定附表</w:t>
            </w:r>
            <w:r w:rsidR="00300D0A" w:rsidRPr="00180FDD">
              <w:rPr>
                <w:rFonts w:eastAsia="標楷體"/>
              </w:rPr>
              <w:t>9-4</w:t>
            </w:r>
            <w:r w:rsidR="00C2287F" w:rsidRPr="00180FDD">
              <w:rPr>
                <w:rFonts w:eastAsia="標楷體" w:hint="eastAsia"/>
              </w:rPr>
              <w:t>)</w:t>
            </w:r>
            <w:r w:rsidR="00547DAF" w:rsidRPr="00180FDD">
              <w:rPr>
                <w:rFonts w:eastAsia="標楷體"/>
              </w:rPr>
              <w:t>，除對於簽證年度之可分配紅利盈餘金額與分配予要保人及股東之比例提出建議外，應適當表達精算意見。</w:t>
            </w:r>
          </w:p>
          <w:p w:rsidR="00547DAF" w:rsidRPr="00180FDD" w:rsidRDefault="00547DAF" w:rsidP="00B35189">
            <w:pPr>
              <w:tabs>
                <w:tab w:val="left" w:pos="3012"/>
              </w:tabs>
              <w:kinsoku w:val="0"/>
              <w:overflowPunct w:val="0"/>
              <w:spacing w:line="360" w:lineRule="auto"/>
              <w:ind w:leftChars="400" w:left="960"/>
              <w:jc w:val="both"/>
              <w:textAlignment w:val="center"/>
              <w:rPr>
                <w:rFonts w:eastAsia="標楷體"/>
              </w:rPr>
            </w:pPr>
            <w:r w:rsidRPr="00180FDD">
              <w:rPr>
                <w:rFonts w:eastAsia="標楷體"/>
              </w:rPr>
              <w:t>前項測試應評估可分配紅利盈餘發放後，未來仍依所揭露之可能紅利金額發放之可能性，如測試未達判斷標準時，應調整未來可能紅利金額至少達判斷標準，並以量化方式評估其對分紅保單業務整體財務之影響程度。</w:t>
            </w:r>
          </w:p>
        </w:tc>
      </w:tr>
      <w:tr w:rsidR="00180FDD" w:rsidRPr="00180FDD" w:rsidTr="00E01844">
        <w:trPr>
          <w:trHeight w:val="710"/>
        </w:trPr>
        <w:tc>
          <w:tcPr>
            <w:tcW w:w="9360" w:type="dxa"/>
          </w:tcPr>
          <w:p w:rsidR="00547DAF" w:rsidRPr="00180FDD" w:rsidRDefault="0097693F" w:rsidP="0091452B">
            <w:pPr>
              <w:kinsoku w:val="0"/>
              <w:overflowPunct w:val="0"/>
              <w:spacing w:line="360" w:lineRule="auto"/>
              <w:ind w:left="960" w:hangingChars="400" w:hanging="960"/>
              <w:jc w:val="both"/>
              <w:textAlignment w:val="center"/>
              <w:rPr>
                <w:rFonts w:eastAsia="標楷體"/>
              </w:rPr>
            </w:pPr>
            <w:r w:rsidRPr="00180FDD">
              <w:rPr>
                <w:rFonts w:eastAsia="標楷體"/>
              </w:rPr>
              <w:t>三十九、</w:t>
            </w:r>
            <w:r w:rsidR="00547DAF" w:rsidRPr="00180FDD">
              <w:rPr>
                <w:rFonts w:eastAsia="標楷體"/>
              </w:rPr>
              <w:t>簽證精算人員應提供自分紅保單銷售以來歷年分紅保單業務營運狀況一覽表</w:t>
            </w:r>
            <w:r w:rsidR="0091452B" w:rsidRPr="00180FDD">
              <w:rPr>
                <w:rFonts w:eastAsia="標楷體" w:hint="eastAsia"/>
              </w:rPr>
              <w:t>(</w:t>
            </w:r>
            <w:r w:rsidR="00547DAF" w:rsidRPr="00180FDD">
              <w:rPr>
                <w:rFonts w:eastAsia="標楷體"/>
              </w:rPr>
              <w:t>詳指定附表</w:t>
            </w:r>
            <w:r w:rsidR="00300D0A" w:rsidRPr="00180FDD">
              <w:rPr>
                <w:rFonts w:eastAsia="標楷體"/>
              </w:rPr>
              <w:t>9-5</w:t>
            </w:r>
            <w:r w:rsidR="0091452B" w:rsidRPr="00180FDD">
              <w:rPr>
                <w:rFonts w:eastAsia="標楷體" w:hint="eastAsia"/>
              </w:rPr>
              <w:t>)</w:t>
            </w:r>
            <w:r w:rsidR="00547DAF" w:rsidRPr="00180FDD">
              <w:rPr>
                <w:rFonts w:eastAsia="標楷體"/>
              </w:rPr>
              <w:t>及利源分析明細表</w:t>
            </w:r>
            <w:r w:rsidR="0091452B" w:rsidRPr="00180FDD">
              <w:rPr>
                <w:rFonts w:eastAsia="標楷體" w:hint="eastAsia"/>
              </w:rPr>
              <w:t>(</w:t>
            </w:r>
            <w:r w:rsidR="00547DAF" w:rsidRPr="00180FDD">
              <w:rPr>
                <w:rFonts w:eastAsia="標楷體"/>
              </w:rPr>
              <w:t>詳指定附表</w:t>
            </w:r>
            <w:r w:rsidR="00300D0A" w:rsidRPr="00180FDD">
              <w:rPr>
                <w:rFonts w:eastAsia="標楷體"/>
              </w:rPr>
              <w:t>9-6</w:t>
            </w:r>
            <w:r w:rsidR="0091452B" w:rsidRPr="00180FDD">
              <w:rPr>
                <w:rFonts w:eastAsia="標楷體" w:hint="eastAsia"/>
              </w:rPr>
              <w:t>)</w:t>
            </w:r>
            <w:r w:rsidR="00547DAF" w:rsidRPr="00180FDD">
              <w:rPr>
                <w:rFonts w:eastAsia="標楷體"/>
              </w:rPr>
              <w:t>。</w:t>
            </w:r>
          </w:p>
        </w:tc>
      </w:tr>
      <w:tr w:rsidR="00180FDD" w:rsidRPr="00180FDD" w:rsidTr="00E01844">
        <w:trPr>
          <w:trHeight w:val="710"/>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lastRenderedPageBreak/>
              <w:t>四十、</w:t>
            </w:r>
            <w:r w:rsidR="00684355" w:rsidRPr="00180FDD">
              <w:rPr>
                <w:rFonts w:eastAsia="標楷體"/>
              </w:rPr>
              <w:t xml:space="preserve">　</w:t>
            </w:r>
            <w:r w:rsidR="00547DAF" w:rsidRPr="00180FDD">
              <w:rPr>
                <w:rFonts w:eastAsia="標楷體"/>
              </w:rPr>
              <w:t>分紅保單連續</w:t>
            </w:r>
            <w:r w:rsidR="00547DAF" w:rsidRPr="00180FDD">
              <w:rPr>
                <w:rFonts w:eastAsia="標楷體"/>
              </w:rPr>
              <w:t>2</w:t>
            </w:r>
            <w:r w:rsidR="00547DAF" w:rsidRPr="00180FDD">
              <w:rPr>
                <w:rFonts w:eastAsia="標楷體"/>
              </w:rPr>
              <w:t>年未能達到揭露之可能紅利金額之累積值時，簽證精算人員應依</w:t>
            </w:r>
            <w:smartTag w:uri="urn:schemas-microsoft-com:office:smarttags" w:element="chsdate">
              <w:smartTagPr>
                <w:attr w:name="Year" w:val="1992"/>
                <w:attr w:name="Month" w:val="3"/>
                <w:attr w:name="Day" w:val="31"/>
                <w:attr w:name="IsLunarDate" w:val="False"/>
                <w:attr w:name="IsROCDate" w:val="False"/>
              </w:smartTagPr>
              <w:r w:rsidR="00547DAF" w:rsidRPr="00180FDD">
                <w:rPr>
                  <w:rFonts w:eastAsia="標楷體"/>
                </w:rPr>
                <w:t>92</w:t>
              </w:r>
              <w:r w:rsidR="00547DAF" w:rsidRPr="00180FDD">
                <w:rPr>
                  <w:rFonts w:eastAsia="標楷體"/>
                </w:rPr>
                <w:t>年</w:t>
              </w:r>
              <w:r w:rsidR="00547DAF" w:rsidRPr="00180FDD">
                <w:rPr>
                  <w:rFonts w:eastAsia="標楷體"/>
                </w:rPr>
                <w:t>3</w:t>
              </w:r>
              <w:r w:rsidR="00547DAF" w:rsidRPr="00180FDD">
                <w:rPr>
                  <w:rFonts w:eastAsia="標楷體"/>
                </w:rPr>
                <w:t>月</w:t>
              </w:r>
              <w:r w:rsidR="00547DAF" w:rsidRPr="00180FDD">
                <w:rPr>
                  <w:rFonts w:eastAsia="標楷體"/>
                </w:rPr>
                <w:t>31</w:t>
              </w:r>
              <w:r w:rsidR="00547DAF" w:rsidRPr="00180FDD">
                <w:rPr>
                  <w:rFonts w:eastAsia="標楷體"/>
                </w:rPr>
                <w:t>日</w:t>
              </w:r>
            </w:smartTag>
            <w:r w:rsidR="00547DAF" w:rsidRPr="00180FDD">
              <w:rPr>
                <w:rFonts w:eastAsia="標楷體"/>
              </w:rPr>
              <w:t>台財保字第</w:t>
            </w:r>
            <w:r w:rsidR="00547DAF" w:rsidRPr="00180FDD">
              <w:rPr>
                <w:rFonts w:eastAsia="標楷體"/>
              </w:rPr>
              <w:t>0920012416</w:t>
            </w:r>
            <w:r w:rsidR="00547DAF" w:rsidRPr="00180FDD">
              <w:rPr>
                <w:rFonts w:eastAsia="標楷體"/>
              </w:rPr>
              <w:t>號函規定說明辦理情形。</w:t>
            </w:r>
          </w:p>
          <w:p w:rsidR="00547DAF" w:rsidRPr="00180FDD" w:rsidRDefault="00547DAF" w:rsidP="00B35189">
            <w:pPr>
              <w:tabs>
                <w:tab w:val="left" w:pos="3012"/>
              </w:tabs>
              <w:kinsoku w:val="0"/>
              <w:overflowPunct w:val="0"/>
              <w:spacing w:line="360" w:lineRule="auto"/>
              <w:ind w:leftChars="400" w:left="960"/>
              <w:jc w:val="both"/>
              <w:textAlignment w:val="center"/>
              <w:rPr>
                <w:rFonts w:eastAsia="標楷體"/>
              </w:rPr>
            </w:pPr>
            <w:r w:rsidRPr="00180FDD">
              <w:rPr>
                <w:rFonts w:eastAsia="標楷體"/>
              </w:rPr>
              <w:t>前項所稱「連續</w:t>
            </w:r>
            <w:r w:rsidRPr="00180FDD">
              <w:rPr>
                <w:rFonts w:eastAsia="標楷體"/>
              </w:rPr>
              <w:t>2</w:t>
            </w:r>
            <w:r w:rsidRPr="00180FDD">
              <w:rPr>
                <w:rFonts w:eastAsia="標楷體"/>
              </w:rPr>
              <w:t>年未能達到揭露之可能紅利金額之累積值」係指最近</w:t>
            </w:r>
            <w:r w:rsidRPr="00180FDD">
              <w:rPr>
                <w:rFonts w:eastAsia="標楷體"/>
              </w:rPr>
              <w:t>2</w:t>
            </w:r>
            <w:r w:rsidRPr="00180FDD">
              <w:rPr>
                <w:rFonts w:eastAsia="標楷體"/>
              </w:rPr>
              <w:t>年發放紅利合計數未達該</w:t>
            </w:r>
            <w:r w:rsidRPr="00180FDD">
              <w:rPr>
                <w:rFonts w:eastAsia="標楷體"/>
              </w:rPr>
              <w:t>2</w:t>
            </w:r>
            <w:r w:rsidRPr="00180FDD">
              <w:rPr>
                <w:rFonts w:eastAsia="標楷體"/>
              </w:rPr>
              <w:t>年揭露之可能紅利金額合計數。</w:t>
            </w:r>
          </w:p>
        </w:tc>
      </w:tr>
    </w:tbl>
    <w:p w:rsidR="00547DAF" w:rsidRPr="00180FDD" w:rsidRDefault="00547DAF" w:rsidP="00B35189">
      <w:pPr>
        <w:kinsoku w:val="0"/>
        <w:overflowPunct w:val="0"/>
        <w:spacing w:line="360" w:lineRule="auto"/>
        <w:jc w:val="both"/>
        <w:textAlignment w:val="center"/>
        <w:rPr>
          <w:rFonts w:eastAsia="標楷體"/>
          <w:b/>
        </w:rPr>
      </w:pPr>
      <w:r w:rsidRPr="00180FDD">
        <w:rPr>
          <w:rFonts w:eastAsia="標楷體"/>
        </w:rPr>
        <w:t>第七章、投資決策評估</w:t>
      </w:r>
    </w:p>
    <w:tbl>
      <w:tblPr>
        <w:tblW w:w="9360" w:type="dxa"/>
        <w:tblInd w:w="108" w:type="dxa"/>
        <w:tblLook w:val="01E0" w:firstRow="1" w:lastRow="1" w:firstColumn="1" w:lastColumn="1" w:noHBand="0" w:noVBand="0"/>
      </w:tblPr>
      <w:tblGrid>
        <w:gridCol w:w="9360"/>
      </w:tblGrid>
      <w:tr w:rsidR="00180FDD" w:rsidRPr="00180FDD" w:rsidTr="00E01844">
        <w:trPr>
          <w:trHeight w:val="1013"/>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四十一、</w:t>
            </w:r>
            <w:r w:rsidR="00547DAF" w:rsidRPr="00180FDD">
              <w:rPr>
                <w:rFonts w:eastAsia="標楷體"/>
              </w:rPr>
              <w:t>簽證精算人員應檢附公司短期及中長期資產配置目標、投資準則及再投資策略等投資決策相關資料。</w:t>
            </w:r>
          </w:p>
          <w:p w:rsidR="00547DAF" w:rsidRPr="00180FDD" w:rsidRDefault="00547DAF" w:rsidP="00B35189">
            <w:pPr>
              <w:kinsoku w:val="0"/>
              <w:overflowPunct w:val="0"/>
              <w:spacing w:line="360" w:lineRule="auto"/>
              <w:ind w:leftChars="400" w:left="960"/>
              <w:jc w:val="both"/>
              <w:textAlignment w:val="center"/>
              <w:rPr>
                <w:rFonts w:eastAsia="標楷體"/>
              </w:rPr>
            </w:pPr>
            <w:r w:rsidRPr="00180FDD">
              <w:rPr>
                <w:rFonts w:eastAsia="標楷體"/>
              </w:rPr>
              <w:t>簽證精算人員應說明前項資料與準備金適足性測試所採用之假設具一致之合理性，若有不一致，應以量化方式評估其對準備金適足性之影響程度。</w:t>
            </w:r>
          </w:p>
        </w:tc>
      </w:tr>
      <w:tr w:rsidR="00180FDD" w:rsidRPr="00180FDD" w:rsidTr="00E01844">
        <w:trPr>
          <w:trHeight w:val="1013"/>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四十二、</w:t>
            </w:r>
            <w:r w:rsidR="00547DAF" w:rsidRPr="00180FDD">
              <w:rPr>
                <w:rFonts w:eastAsia="標楷體"/>
              </w:rPr>
              <w:t>簽證精算人員應提供各區隔資產及未區隔資產之資產負債管理計畫</w:t>
            </w:r>
            <w:r w:rsidRPr="00180FDD">
              <w:rPr>
                <w:rFonts w:eastAsia="標楷體"/>
              </w:rPr>
              <w:t>及評估日</w:t>
            </w:r>
            <w:r w:rsidR="007B2287" w:rsidRPr="00180FDD">
              <w:rPr>
                <w:rFonts w:eastAsia="標楷體"/>
              </w:rPr>
              <w:t>資產與負債有效存續期間評估</w:t>
            </w:r>
            <w:r w:rsidR="00547DAF" w:rsidRPr="00180FDD">
              <w:rPr>
                <w:rFonts w:eastAsia="標楷體"/>
              </w:rPr>
              <w:t>及資產負債不配合之量化分析</w:t>
            </w:r>
            <w:r w:rsidR="00FB72DE" w:rsidRPr="00180FDD">
              <w:rPr>
                <w:rFonts w:eastAsia="標楷體"/>
              </w:rPr>
              <w:t>。</w:t>
            </w:r>
            <w:r w:rsidR="00547DAF" w:rsidRPr="00180FDD">
              <w:rPr>
                <w:rFonts w:eastAsia="標楷體"/>
              </w:rPr>
              <w:t>另應提供利率變動型商品於現行目標資產配置及投資決策下之量化評估分析，並就投資決策對其資產與負債之配合及影響提供專業分析及意見。</w:t>
            </w:r>
          </w:p>
          <w:p w:rsidR="00547DAF" w:rsidRPr="00180FDD" w:rsidRDefault="00547DAF" w:rsidP="00B35189">
            <w:pPr>
              <w:kinsoku w:val="0"/>
              <w:overflowPunct w:val="0"/>
              <w:spacing w:line="360" w:lineRule="auto"/>
              <w:ind w:leftChars="400" w:left="960"/>
              <w:jc w:val="both"/>
              <w:textAlignment w:val="center"/>
              <w:rPr>
                <w:rFonts w:eastAsia="標楷體"/>
              </w:rPr>
            </w:pPr>
            <w:r w:rsidRPr="00180FDD">
              <w:rPr>
                <w:rFonts w:eastAsia="標楷體"/>
              </w:rPr>
              <w:t>前項各區隔資產之資產負債管理計畫應與商品送審時之資產配置計畫或資產負債管理計畫相關內容進行差異分析。</w:t>
            </w:r>
          </w:p>
          <w:p w:rsidR="0074220B" w:rsidRPr="00180FDD" w:rsidRDefault="0074220B" w:rsidP="0091452B">
            <w:pPr>
              <w:kinsoku w:val="0"/>
              <w:overflowPunct w:val="0"/>
              <w:spacing w:line="360" w:lineRule="auto"/>
              <w:ind w:leftChars="400" w:left="960"/>
              <w:jc w:val="both"/>
              <w:textAlignment w:val="center"/>
              <w:rPr>
                <w:rFonts w:eastAsia="標楷體"/>
              </w:rPr>
            </w:pPr>
            <w:r w:rsidRPr="00180FDD">
              <w:rPr>
                <w:rFonts w:eastAsia="標楷體"/>
              </w:rPr>
              <w:t>簽證精算人員應考量銷售對象之利率敏感程度</w:t>
            </w:r>
            <w:r w:rsidR="0091452B" w:rsidRPr="00180FDD">
              <w:rPr>
                <w:rFonts w:eastAsia="標楷體" w:hint="eastAsia"/>
              </w:rPr>
              <w:t>(</w:t>
            </w:r>
            <w:r w:rsidR="0097693F" w:rsidRPr="00180FDD">
              <w:rPr>
                <w:rFonts w:eastAsia="標楷體"/>
              </w:rPr>
              <w:t>含利變及傳統型商品</w:t>
            </w:r>
            <w:r w:rsidR="0091452B" w:rsidRPr="00180FDD">
              <w:rPr>
                <w:rFonts w:eastAsia="標楷體" w:hint="eastAsia"/>
              </w:rPr>
              <w:t>)</w:t>
            </w:r>
            <w:r w:rsidRPr="00180FDD">
              <w:rPr>
                <w:rFonts w:eastAsia="標楷體"/>
              </w:rPr>
              <w:t>及特定年度解約之可能性</w:t>
            </w:r>
            <w:r w:rsidR="0091452B" w:rsidRPr="00180FDD">
              <w:rPr>
                <w:rFonts w:eastAsia="標楷體" w:hint="eastAsia"/>
              </w:rPr>
              <w:t>(</w:t>
            </w:r>
            <w:r w:rsidR="0097693F" w:rsidRPr="00180FDD">
              <w:rPr>
                <w:rFonts w:eastAsia="標楷體"/>
              </w:rPr>
              <w:t>依通路、商品設計及銷售行為考量特定年度</w:t>
            </w:r>
            <w:r w:rsidR="0091452B" w:rsidRPr="00180FDD">
              <w:rPr>
                <w:rFonts w:eastAsia="標楷體" w:hint="eastAsia"/>
              </w:rPr>
              <w:t>)</w:t>
            </w:r>
            <w:r w:rsidRPr="00180FDD">
              <w:rPr>
                <w:rFonts w:eastAsia="標楷體"/>
              </w:rPr>
              <w:t>，提出</w:t>
            </w:r>
            <w:r w:rsidR="0097693F" w:rsidRPr="00180FDD">
              <w:rPr>
                <w:rFonts w:eastAsia="標楷體"/>
              </w:rPr>
              <w:t>不同壓力情境下</w:t>
            </w:r>
            <w:r w:rsidRPr="00180FDD">
              <w:rPr>
                <w:rFonts w:eastAsia="標楷體"/>
              </w:rPr>
              <w:t>利率風險量化分析，且提出現金流量缺口及資產負債存續期間缺口之監控機制。</w:t>
            </w:r>
          </w:p>
        </w:tc>
      </w:tr>
    </w:tbl>
    <w:p w:rsidR="00547DAF" w:rsidRPr="00180FDD" w:rsidRDefault="00547DAF" w:rsidP="00B35189">
      <w:pPr>
        <w:kinsoku w:val="0"/>
        <w:overflowPunct w:val="0"/>
        <w:spacing w:line="360" w:lineRule="auto"/>
        <w:jc w:val="both"/>
        <w:textAlignment w:val="center"/>
        <w:rPr>
          <w:rFonts w:eastAsia="標楷體"/>
          <w:b/>
        </w:rPr>
      </w:pPr>
      <w:r w:rsidRPr="00180FDD">
        <w:rPr>
          <w:rFonts w:eastAsia="標楷體"/>
        </w:rPr>
        <w:t>第八章、清償能力評估</w:t>
      </w:r>
    </w:p>
    <w:tbl>
      <w:tblPr>
        <w:tblW w:w="9360" w:type="dxa"/>
        <w:tblInd w:w="108" w:type="dxa"/>
        <w:tblLook w:val="01E0" w:firstRow="1" w:lastRow="1" w:firstColumn="1" w:lastColumn="1" w:noHBand="0" w:noVBand="0"/>
      </w:tblPr>
      <w:tblGrid>
        <w:gridCol w:w="9360"/>
      </w:tblGrid>
      <w:tr w:rsidR="00180FDD" w:rsidRPr="00180FDD" w:rsidTr="00BD5392">
        <w:trPr>
          <w:trHeight w:val="434"/>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四十三、</w:t>
            </w:r>
            <w:r w:rsidR="00547DAF" w:rsidRPr="00180FDD">
              <w:rPr>
                <w:rFonts w:eastAsia="標楷體"/>
              </w:rPr>
              <w:t>簽證精算人員應提供計算資本適足率所採用之下列各款精算假設之數值及其依據，且檢附在相同比較基礎下精算假設與過去實際經驗之對照表，並說明其合理性。</w:t>
            </w:r>
          </w:p>
          <w:p w:rsidR="00547DAF" w:rsidRPr="00180FDD" w:rsidRDefault="008F633B" w:rsidP="008F633B">
            <w:pPr>
              <w:tabs>
                <w:tab w:val="left" w:pos="732"/>
              </w:tabs>
              <w:kinsoku w:val="0"/>
              <w:overflowPunct w:val="0"/>
              <w:spacing w:line="360" w:lineRule="auto"/>
              <w:ind w:leftChars="400" w:left="1452" w:hangingChars="205" w:hanging="492"/>
              <w:jc w:val="both"/>
              <w:textAlignment w:val="center"/>
              <w:rPr>
                <w:rFonts w:eastAsia="標楷體"/>
                <w:kern w:val="0"/>
              </w:rPr>
            </w:pPr>
            <w:r w:rsidRPr="00180FDD">
              <w:rPr>
                <w:rFonts w:eastAsia="標楷體" w:hint="eastAsia"/>
              </w:rPr>
              <w:t>(</w:t>
            </w:r>
            <w:r w:rsidR="00547DAF" w:rsidRPr="00180FDD">
              <w:rPr>
                <w:rFonts w:eastAsia="標楷體"/>
              </w:rPr>
              <w:t>一</w:t>
            </w:r>
            <w:r w:rsidRPr="00180FDD">
              <w:rPr>
                <w:rFonts w:eastAsia="標楷體" w:hint="eastAsia"/>
              </w:rPr>
              <w:t>)</w:t>
            </w:r>
            <w:r w:rsidR="00547DAF" w:rsidRPr="00180FDD">
              <w:rPr>
                <w:rFonts w:eastAsia="標楷體"/>
              </w:rPr>
              <w:t>資產</w:t>
            </w:r>
            <w:r w:rsidR="00547DAF" w:rsidRPr="00180FDD">
              <w:rPr>
                <w:rFonts w:eastAsia="標楷體"/>
                <w:kern w:val="0"/>
              </w:rPr>
              <w:t>面假設：至少包括期初資產組合群組方式、資產評價方式、資產配置比例、再投資策略、避險成本、違約成本及各項資產投資收益等假設，其</w:t>
            </w:r>
            <w:r w:rsidR="00547DAF" w:rsidRPr="00180FDD">
              <w:rPr>
                <w:rFonts w:eastAsia="標楷體"/>
                <w:kern w:val="0"/>
              </w:rPr>
              <w:lastRenderedPageBreak/>
              <w:t>中針對資產評價方式應說明與會計基礎是否具一致性。</w:t>
            </w:r>
          </w:p>
          <w:p w:rsidR="00547DAF" w:rsidRPr="00180FDD" w:rsidRDefault="008F633B" w:rsidP="008F633B">
            <w:pPr>
              <w:tabs>
                <w:tab w:val="left" w:pos="732"/>
              </w:tabs>
              <w:kinsoku w:val="0"/>
              <w:overflowPunct w:val="0"/>
              <w:spacing w:line="360" w:lineRule="auto"/>
              <w:ind w:leftChars="400" w:left="1452" w:hangingChars="205" w:hanging="492"/>
              <w:jc w:val="both"/>
              <w:textAlignment w:val="center"/>
              <w:rPr>
                <w:rFonts w:eastAsia="標楷體"/>
                <w:kern w:val="0"/>
              </w:rPr>
            </w:pPr>
            <w:r w:rsidRPr="00180FDD">
              <w:rPr>
                <w:rFonts w:eastAsia="標楷體" w:hint="eastAsia"/>
              </w:rPr>
              <w:t>(</w:t>
            </w:r>
            <w:r w:rsidR="00547DAF" w:rsidRPr="00180FDD">
              <w:rPr>
                <w:rFonts w:eastAsia="標楷體"/>
              </w:rPr>
              <w:t>二</w:t>
            </w:r>
            <w:r w:rsidRPr="00180FDD">
              <w:rPr>
                <w:rFonts w:eastAsia="標楷體" w:hint="eastAsia"/>
              </w:rPr>
              <w:t>)</w:t>
            </w:r>
            <w:r w:rsidR="00547DAF" w:rsidRPr="00180FDD">
              <w:rPr>
                <w:rFonts w:eastAsia="標楷體"/>
                <w:kern w:val="0"/>
              </w:rPr>
              <w:t>負債面假設：至少包括期初有效契約群組方式、未來</w:t>
            </w:r>
            <w:r w:rsidR="00547DAF" w:rsidRPr="00180FDD">
              <w:rPr>
                <w:rFonts w:eastAsia="標楷體"/>
                <w:kern w:val="0"/>
              </w:rPr>
              <w:t>3</w:t>
            </w:r>
            <w:r w:rsidR="00547DAF" w:rsidRPr="00180FDD">
              <w:rPr>
                <w:rFonts w:eastAsia="標楷體"/>
                <w:kern w:val="0"/>
              </w:rPr>
              <w:t>年新契約保費收入及商品分布假設、脫退率、死亡率、罹病率、費用、分紅、宣告利率、再保收支等假設。</w:t>
            </w:r>
          </w:p>
          <w:p w:rsidR="00547DAF" w:rsidRPr="00180FDD" w:rsidRDefault="00547DAF" w:rsidP="00B35189">
            <w:pPr>
              <w:kinsoku w:val="0"/>
              <w:overflowPunct w:val="0"/>
              <w:spacing w:line="360" w:lineRule="auto"/>
              <w:ind w:leftChars="400" w:left="960"/>
              <w:jc w:val="both"/>
              <w:textAlignment w:val="center"/>
              <w:rPr>
                <w:rFonts w:eastAsia="標楷體"/>
              </w:rPr>
            </w:pPr>
            <w:r w:rsidRPr="00180FDD">
              <w:rPr>
                <w:rFonts w:eastAsia="標楷體"/>
              </w:rPr>
              <w:t>簽證精算人員應同時檢附當年度實際及未來</w:t>
            </w:r>
            <w:r w:rsidRPr="00180FDD">
              <w:rPr>
                <w:rFonts w:eastAsia="標楷體"/>
              </w:rPr>
              <w:t>3</w:t>
            </w:r>
            <w:r w:rsidRPr="00180FDD">
              <w:rPr>
                <w:rFonts w:eastAsia="標楷體"/>
              </w:rPr>
              <w:t>年度預估之資產負債表及損益表之對照表。</w:t>
            </w:r>
          </w:p>
        </w:tc>
      </w:tr>
      <w:tr w:rsidR="00180FDD" w:rsidRPr="00180FDD" w:rsidTr="00312273">
        <w:trPr>
          <w:trHeight w:val="2258"/>
        </w:trPr>
        <w:tc>
          <w:tcPr>
            <w:tcW w:w="9360" w:type="dxa"/>
          </w:tcPr>
          <w:p w:rsidR="00547DAF" w:rsidRPr="00180FDD" w:rsidRDefault="0097693F" w:rsidP="008F633B">
            <w:pPr>
              <w:kinsoku w:val="0"/>
              <w:overflowPunct w:val="0"/>
              <w:spacing w:line="360" w:lineRule="auto"/>
              <w:ind w:left="960" w:hangingChars="400" w:hanging="960"/>
              <w:jc w:val="both"/>
              <w:textAlignment w:val="center"/>
              <w:rPr>
                <w:rFonts w:eastAsia="標楷體"/>
              </w:rPr>
            </w:pPr>
            <w:r w:rsidRPr="00180FDD">
              <w:rPr>
                <w:rFonts w:eastAsia="標楷體"/>
              </w:rPr>
              <w:lastRenderedPageBreak/>
              <w:t>四十四、</w:t>
            </w:r>
            <w:r w:rsidR="00547DAF" w:rsidRPr="00180FDD">
              <w:rPr>
                <w:rFonts w:eastAsia="標楷體"/>
              </w:rPr>
              <w:t>簽證精算人員應提供簽證年度底及預測未來</w:t>
            </w:r>
            <w:r w:rsidR="00547DAF" w:rsidRPr="00180FDD">
              <w:rPr>
                <w:rFonts w:eastAsia="標楷體"/>
              </w:rPr>
              <w:t>3</w:t>
            </w:r>
            <w:r w:rsidR="00547DAF" w:rsidRPr="00180FDD">
              <w:rPr>
                <w:rFonts w:eastAsia="標楷體"/>
              </w:rPr>
              <w:t>年年度底之再保後資本適足率，其中各年底資本適足率如有未達百分之二百之情事，則應提供達百分之二百所需立即一次增資金額。但再保契約對資本適足率有重大影響時，應評估各該再保契約對資本適足率之影響程度</w:t>
            </w:r>
            <w:r w:rsidR="008F633B" w:rsidRPr="00180FDD">
              <w:rPr>
                <w:rFonts w:eastAsia="標楷體" w:hint="eastAsia"/>
              </w:rPr>
              <w:t>(</w:t>
            </w:r>
            <w:r w:rsidR="00547DAF" w:rsidRPr="00180FDD">
              <w:rPr>
                <w:rFonts w:eastAsia="標楷體"/>
              </w:rPr>
              <w:t>詳指定附表</w:t>
            </w:r>
            <w:r w:rsidR="00547DAF" w:rsidRPr="00180FDD">
              <w:rPr>
                <w:rFonts w:eastAsia="標楷體"/>
              </w:rPr>
              <w:t>10-1</w:t>
            </w:r>
            <w:r w:rsidR="008F633B" w:rsidRPr="00180FDD">
              <w:rPr>
                <w:rFonts w:eastAsia="標楷體" w:hint="eastAsia"/>
              </w:rPr>
              <w:t>)</w:t>
            </w:r>
            <w:r w:rsidR="00547DAF" w:rsidRPr="00180FDD">
              <w:rPr>
                <w:rFonts w:eastAsia="標楷體"/>
              </w:rPr>
              <w:t>。</w:t>
            </w:r>
          </w:p>
        </w:tc>
      </w:tr>
      <w:tr w:rsidR="00180FDD" w:rsidRPr="00180FDD" w:rsidTr="0097693F">
        <w:trPr>
          <w:trHeight w:val="510"/>
        </w:trPr>
        <w:tc>
          <w:tcPr>
            <w:tcW w:w="9360" w:type="dxa"/>
          </w:tcPr>
          <w:p w:rsidR="00180FDD" w:rsidRPr="00180FDD" w:rsidRDefault="0097693F" w:rsidP="00261115">
            <w:pPr>
              <w:tabs>
                <w:tab w:val="left" w:pos="972"/>
              </w:tabs>
              <w:kinsoku w:val="0"/>
              <w:overflowPunct w:val="0"/>
              <w:spacing w:line="360" w:lineRule="auto"/>
              <w:ind w:leftChars="15" w:left="1025" w:hangingChars="412" w:hanging="989"/>
              <w:jc w:val="both"/>
              <w:textAlignment w:val="center"/>
              <w:rPr>
                <w:rFonts w:eastAsia="標楷體"/>
              </w:rPr>
            </w:pPr>
            <w:r w:rsidRPr="00180FDD">
              <w:rPr>
                <w:rFonts w:eastAsia="標楷體"/>
              </w:rPr>
              <w:t>四十</w:t>
            </w:r>
            <w:r w:rsidR="00180FDD" w:rsidRPr="00180FDD">
              <w:rPr>
                <w:rFonts w:eastAsia="標楷體" w:hint="eastAsia"/>
              </w:rPr>
              <w:t>五</w:t>
            </w:r>
            <w:r w:rsidRPr="00180FDD">
              <w:rPr>
                <w:rFonts w:eastAsia="標楷體"/>
              </w:rPr>
              <w:t>、</w:t>
            </w:r>
            <w:r w:rsidR="00180FDD" w:rsidRPr="00180FDD">
              <w:rPr>
                <w:rFonts w:eastAsia="標楷體" w:hint="eastAsia"/>
              </w:rPr>
              <w:t>(</w:t>
            </w:r>
            <w:r w:rsidR="00180FDD" w:rsidRPr="00180FDD">
              <w:rPr>
                <w:rFonts w:eastAsia="標楷體" w:hint="eastAsia"/>
              </w:rPr>
              <w:t>刪除</w:t>
            </w:r>
            <w:r w:rsidR="00180FDD" w:rsidRPr="00180FDD">
              <w:rPr>
                <w:rFonts w:eastAsia="標楷體" w:hint="eastAsia"/>
              </w:rPr>
              <w:t>)</w:t>
            </w:r>
          </w:p>
          <w:p w:rsidR="00261115" w:rsidRPr="00180FDD" w:rsidRDefault="00180FDD" w:rsidP="00261115">
            <w:pPr>
              <w:tabs>
                <w:tab w:val="left" w:pos="972"/>
              </w:tabs>
              <w:kinsoku w:val="0"/>
              <w:overflowPunct w:val="0"/>
              <w:spacing w:line="360" w:lineRule="auto"/>
              <w:ind w:leftChars="15" w:left="1025" w:hangingChars="412" w:hanging="989"/>
              <w:jc w:val="both"/>
              <w:textAlignment w:val="center"/>
              <w:rPr>
                <w:rFonts w:eastAsia="標楷體"/>
              </w:rPr>
            </w:pPr>
            <w:r w:rsidRPr="00180FDD">
              <w:rPr>
                <w:rFonts w:eastAsia="標楷體" w:hint="eastAsia"/>
              </w:rPr>
              <w:t>四十六、</w:t>
            </w:r>
            <w:r w:rsidR="00261115" w:rsidRPr="00180FDD">
              <w:rPr>
                <w:rFonts w:eastAsia="標楷體"/>
              </w:rPr>
              <w:t>簽證精算人員應針對資本適足率出具適足性之意見及相關建議，若有不適足者，應提供簽署公司達適足標準所需之增資金額及具體改善計畫，並量化各項改善措施對資本適足率之影響程度。</w:t>
            </w:r>
          </w:p>
          <w:p w:rsidR="00261115" w:rsidRPr="00180FDD" w:rsidRDefault="00261115" w:rsidP="00261115">
            <w:pPr>
              <w:tabs>
                <w:tab w:val="left" w:pos="972"/>
              </w:tabs>
              <w:kinsoku w:val="0"/>
              <w:overflowPunct w:val="0"/>
              <w:spacing w:line="360" w:lineRule="auto"/>
              <w:ind w:leftChars="400" w:left="960"/>
              <w:jc w:val="both"/>
              <w:textAlignment w:val="center"/>
              <w:rPr>
                <w:rFonts w:eastAsia="標楷體"/>
              </w:rPr>
            </w:pPr>
            <w:r w:rsidRPr="00180FDD">
              <w:rPr>
                <w:rFonts w:eastAsia="標楷體"/>
              </w:rPr>
              <w:t>針對資本適足率已達適足標準之公司，簽證精算人員亦應於清償能力評估情形項下，評析對簽署公司資本適足率具有重大影響因素之敏感度測試結果並提出建議，以求永續經營。</w:t>
            </w:r>
          </w:p>
          <w:p w:rsidR="00FB72DE" w:rsidRPr="00180FDD" w:rsidRDefault="00261115" w:rsidP="00261115">
            <w:pPr>
              <w:kinsoku w:val="0"/>
              <w:overflowPunct w:val="0"/>
              <w:spacing w:line="360" w:lineRule="auto"/>
              <w:ind w:leftChars="368" w:left="957" w:hangingChars="31" w:hanging="74"/>
              <w:jc w:val="both"/>
              <w:textAlignment w:val="center"/>
              <w:rPr>
                <w:rFonts w:eastAsia="標楷體"/>
              </w:rPr>
            </w:pPr>
            <w:r w:rsidRPr="00180FDD">
              <w:rPr>
                <w:rFonts w:eastAsia="標楷體"/>
              </w:rPr>
              <w:t>簽證精算人員另應說明精算簽證報告與保險業自我風險及清償能力評估</w:t>
            </w:r>
            <w:r w:rsidRPr="00180FDD">
              <w:rPr>
                <w:rFonts w:eastAsia="標楷體"/>
              </w:rPr>
              <w:t>(</w:t>
            </w:r>
            <w:r w:rsidRPr="00180FDD">
              <w:rPr>
                <w:rFonts w:eastAsia="標楷體"/>
              </w:rPr>
              <w:t>簡稱</w:t>
            </w:r>
            <w:r w:rsidRPr="00180FDD">
              <w:rPr>
                <w:rFonts w:eastAsia="標楷體"/>
              </w:rPr>
              <w:t>ORSA)</w:t>
            </w:r>
            <w:r w:rsidRPr="00180FDD">
              <w:rPr>
                <w:rFonts w:eastAsia="標楷體" w:hint="eastAsia"/>
              </w:rPr>
              <w:t>作業</w:t>
            </w:r>
            <w:r w:rsidRPr="00180FDD">
              <w:rPr>
                <w:rFonts w:eastAsia="標楷體"/>
              </w:rPr>
              <w:t>中資本管理</w:t>
            </w:r>
            <w:r w:rsidRPr="00180FDD">
              <w:rPr>
                <w:rFonts w:eastAsia="標楷體" w:hint="eastAsia"/>
              </w:rPr>
              <w:t>方式</w:t>
            </w:r>
            <w:r w:rsidRPr="00180FDD">
              <w:rPr>
                <w:rFonts w:eastAsia="標楷體"/>
              </w:rPr>
              <w:t>之異同。</w:t>
            </w:r>
          </w:p>
        </w:tc>
      </w:tr>
    </w:tbl>
    <w:p w:rsidR="00547DAF" w:rsidRPr="00180FDD" w:rsidRDefault="00547DAF" w:rsidP="00B35189">
      <w:pPr>
        <w:kinsoku w:val="0"/>
        <w:overflowPunct w:val="0"/>
        <w:spacing w:line="360" w:lineRule="auto"/>
        <w:jc w:val="both"/>
        <w:textAlignment w:val="center"/>
        <w:rPr>
          <w:rFonts w:eastAsia="標楷體"/>
          <w:b/>
        </w:rPr>
      </w:pPr>
      <w:r w:rsidRPr="00180FDD">
        <w:rPr>
          <w:rFonts w:eastAsia="標楷體"/>
        </w:rPr>
        <w:t>第九章、特定商品之準備金適足性測試</w:t>
      </w:r>
    </w:p>
    <w:p w:rsidR="00547DAF" w:rsidRPr="00180FDD" w:rsidRDefault="00547DAF" w:rsidP="00B35189">
      <w:pPr>
        <w:kinsoku w:val="0"/>
        <w:overflowPunct w:val="0"/>
        <w:spacing w:line="360" w:lineRule="auto"/>
        <w:jc w:val="both"/>
        <w:textAlignment w:val="center"/>
        <w:rPr>
          <w:rFonts w:eastAsia="標楷體"/>
        </w:rPr>
      </w:pPr>
      <w:r w:rsidRPr="00180FDD">
        <w:rPr>
          <w:rFonts w:eastAsia="標楷體"/>
        </w:rPr>
        <w:t>第一節、基本事項</w:t>
      </w:r>
    </w:p>
    <w:tbl>
      <w:tblPr>
        <w:tblW w:w="9360" w:type="dxa"/>
        <w:tblInd w:w="108" w:type="dxa"/>
        <w:tblLook w:val="01E0" w:firstRow="1" w:lastRow="1" w:firstColumn="1" w:lastColumn="1" w:noHBand="0" w:noVBand="0"/>
      </w:tblPr>
      <w:tblGrid>
        <w:gridCol w:w="9360"/>
      </w:tblGrid>
      <w:tr w:rsidR="00180FDD" w:rsidRPr="00180FDD" w:rsidTr="00E01844">
        <w:trPr>
          <w:trHeight w:val="557"/>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四十七、</w:t>
            </w:r>
            <w:r w:rsidR="00864080" w:rsidRPr="00180FDD">
              <w:rPr>
                <w:rFonts w:eastAsia="標楷體"/>
              </w:rPr>
              <w:t>簽證精算人員應提供特定商品之統計表</w:t>
            </w:r>
            <w:r w:rsidR="00864080" w:rsidRPr="00180FDD">
              <w:rPr>
                <w:rFonts w:eastAsia="標楷體"/>
              </w:rPr>
              <w:t>(</w:t>
            </w:r>
            <w:r w:rsidR="00864080" w:rsidRPr="00180FDD">
              <w:rPr>
                <w:rFonts w:eastAsia="標楷體"/>
              </w:rPr>
              <w:t>詳指定附表</w:t>
            </w:r>
            <w:r w:rsidR="00864080" w:rsidRPr="00180FDD">
              <w:rPr>
                <w:rFonts w:eastAsia="標楷體"/>
              </w:rPr>
              <w:t>11)</w:t>
            </w:r>
            <w:r w:rsidR="00864080" w:rsidRPr="00180FDD">
              <w:rPr>
                <w:rFonts w:eastAsia="標楷體"/>
              </w:rPr>
              <w:t>。</w:t>
            </w:r>
          </w:p>
        </w:tc>
      </w:tr>
    </w:tbl>
    <w:p w:rsidR="00547DAF" w:rsidRPr="00180FDD" w:rsidRDefault="00547DAF" w:rsidP="00B35189">
      <w:pPr>
        <w:kinsoku w:val="0"/>
        <w:overflowPunct w:val="0"/>
        <w:spacing w:line="360" w:lineRule="auto"/>
        <w:jc w:val="both"/>
        <w:textAlignment w:val="center"/>
        <w:rPr>
          <w:rFonts w:eastAsia="標楷體"/>
          <w:b/>
        </w:rPr>
      </w:pPr>
      <w:r w:rsidRPr="00180FDD">
        <w:rPr>
          <w:rFonts w:eastAsia="標楷體"/>
        </w:rPr>
        <w:t>第二節、利率變動型商品</w:t>
      </w:r>
    </w:p>
    <w:tbl>
      <w:tblPr>
        <w:tblW w:w="9360" w:type="dxa"/>
        <w:tblInd w:w="108" w:type="dxa"/>
        <w:tblLook w:val="01E0" w:firstRow="1" w:lastRow="1" w:firstColumn="1" w:lastColumn="1" w:noHBand="0" w:noVBand="0"/>
      </w:tblPr>
      <w:tblGrid>
        <w:gridCol w:w="9360"/>
      </w:tblGrid>
      <w:tr w:rsidR="00180FDD" w:rsidRPr="00180FDD" w:rsidTr="00E01844">
        <w:trPr>
          <w:trHeight w:val="557"/>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四十八、</w:t>
            </w:r>
            <w:r w:rsidR="00547DAF" w:rsidRPr="00180FDD">
              <w:rPr>
                <w:rFonts w:eastAsia="標楷體"/>
              </w:rPr>
              <w:t>利率變動型商品包括萬能人壽保險、利率變動型人壽保險以及利率變動型年金保險等商品。</w:t>
            </w:r>
          </w:p>
        </w:tc>
      </w:tr>
      <w:tr w:rsidR="00180FDD" w:rsidRPr="00180FDD" w:rsidTr="00E01844">
        <w:trPr>
          <w:trHeight w:val="557"/>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lastRenderedPageBreak/>
              <w:t>四十九、</w:t>
            </w:r>
            <w:r w:rsidR="00547DAF" w:rsidRPr="00180FDD">
              <w:rPr>
                <w:rFonts w:eastAsia="標楷體"/>
              </w:rPr>
              <w:t>簽證精算人員應說明公司利率變動型商品區隔資產之</w:t>
            </w:r>
            <w:bookmarkStart w:id="5" w:name="OLE_LINK3"/>
            <w:r w:rsidR="00547DAF" w:rsidRPr="00180FDD">
              <w:rPr>
                <w:rFonts w:eastAsia="標楷體"/>
              </w:rPr>
              <w:t>投資準則</w:t>
            </w:r>
            <w:bookmarkEnd w:id="5"/>
            <w:r w:rsidR="00547DAF" w:rsidRPr="00180FDD">
              <w:rPr>
                <w:rFonts w:eastAsia="標楷體"/>
              </w:rPr>
              <w:t>，並提供最近</w:t>
            </w:r>
            <w:r w:rsidR="00547DAF" w:rsidRPr="00180FDD">
              <w:rPr>
                <w:rFonts w:eastAsia="標楷體"/>
              </w:rPr>
              <w:t>3</w:t>
            </w:r>
            <w:r w:rsidR="00547DAF" w:rsidRPr="00180FDD">
              <w:rPr>
                <w:rFonts w:eastAsia="標楷體"/>
              </w:rPr>
              <w:t>年各月區隔資產之實際資產配置及投資績效。</w:t>
            </w:r>
          </w:p>
          <w:p w:rsidR="00547DAF" w:rsidRPr="00180FDD" w:rsidRDefault="00547DAF" w:rsidP="00B35189">
            <w:pPr>
              <w:tabs>
                <w:tab w:val="left" w:pos="972"/>
              </w:tabs>
              <w:kinsoku w:val="0"/>
              <w:overflowPunct w:val="0"/>
              <w:spacing w:line="360" w:lineRule="auto"/>
              <w:ind w:leftChars="405" w:left="972"/>
              <w:jc w:val="both"/>
              <w:textAlignment w:val="center"/>
              <w:rPr>
                <w:rFonts w:eastAsia="標楷體"/>
              </w:rPr>
            </w:pPr>
            <w:r w:rsidRPr="00180FDD">
              <w:rPr>
                <w:rFonts w:eastAsia="標楷體"/>
              </w:rPr>
              <w:t>簽證精算人員應說明公司實際資產配置與投資準則是否有顯著偏離或投資準則是否有修正，如有前述情事應說明其原因。</w:t>
            </w:r>
          </w:p>
        </w:tc>
      </w:tr>
      <w:tr w:rsidR="00180FDD" w:rsidRPr="00180FDD" w:rsidTr="00E01844">
        <w:trPr>
          <w:trHeight w:val="557"/>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bookmarkStart w:id="6" w:name="OLE_LINK7"/>
            <w:r w:rsidRPr="00180FDD">
              <w:rPr>
                <w:rFonts w:eastAsia="標楷體"/>
              </w:rPr>
              <w:t>五十、</w:t>
            </w:r>
            <w:r w:rsidR="00684355" w:rsidRPr="00180FDD">
              <w:rPr>
                <w:rFonts w:eastAsia="標楷體"/>
              </w:rPr>
              <w:t xml:space="preserve">　</w:t>
            </w:r>
            <w:r w:rsidRPr="00180FDD">
              <w:rPr>
                <w:rFonts w:eastAsia="標楷體"/>
              </w:rPr>
              <w:t>簽證精算人員應</w:t>
            </w:r>
            <w:bookmarkEnd w:id="6"/>
            <w:r w:rsidR="00547DAF" w:rsidRPr="00180FDD">
              <w:rPr>
                <w:rFonts w:eastAsia="標楷體"/>
              </w:rPr>
              <w:t>說明各利率變動型商品之宣告利率政策，至少包括宣告利率之公式、保證方式及其上下限。</w:t>
            </w:r>
          </w:p>
        </w:tc>
      </w:tr>
      <w:tr w:rsidR="00180FDD" w:rsidRPr="00180FDD" w:rsidTr="00E01844">
        <w:trPr>
          <w:trHeight w:val="557"/>
        </w:trPr>
        <w:tc>
          <w:tcPr>
            <w:tcW w:w="9360" w:type="dxa"/>
          </w:tcPr>
          <w:p w:rsidR="00547DAF" w:rsidRPr="00180FDD" w:rsidRDefault="0097693F" w:rsidP="008F633B">
            <w:pPr>
              <w:kinsoku w:val="0"/>
              <w:overflowPunct w:val="0"/>
              <w:spacing w:line="360" w:lineRule="auto"/>
              <w:ind w:left="960" w:hangingChars="400" w:hanging="960"/>
              <w:jc w:val="both"/>
              <w:textAlignment w:val="center"/>
              <w:rPr>
                <w:rFonts w:eastAsia="標楷體"/>
              </w:rPr>
            </w:pPr>
            <w:r w:rsidRPr="00180FDD">
              <w:rPr>
                <w:rFonts w:eastAsia="標楷體"/>
              </w:rPr>
              <w:t>五十一、</w:t>
            </w:r>
            <w:r w:rsidR="00547DAF" w:rsidRPr="00180FDD">
              <w:rPr>
                <w:rFonts w:eastAsia="標楷體"/>
              </w:rPr>
              <w:t>簽證精算人員應載明測試模型中各利率變動型商品之</w:t>
            </w:r>
            <w:bookmarkStart w:id="7" w:name="OLE_LINK10"/>
            <w:r w:rsidR="00547DAF" w:rsidRPr="00180FDD">
              <w:rPr>
                <w:rFonts w:eastAsia="標楷體"/>
              </w:rPr>
              <w:t>宣告利率公式及其參數值</w:t>
            </w:r>
            <w:bookmarkEnd w:id="7"/>
            <w:r w:rsidR="00547DAF" w:rsidRPr="00180FDD">
              <w:rPr>
                <w:rFonts w:eastAsia="標楷體"/>
              </w:rPr>
              <w:t>，且應隨利率情境動態調整，同時就公司最近</w:t>
            </w:r>
            <w:r w:rsidR="00547DAF" w:rsidRPr="00180FDD">
              <w:rPr>
                <w:rFonts w:eastAsia="標楷體"/>
              </w:rPr>
              <w:t>3</w:t>
            </w:r>
            <w:r w:rsidR="00547DAF" w:rsidRPr="00180FDD">
              <w:rPr>
                <w:rFonts w:eastAsia="標楷體"/>
              </w:rPr>
              <w:t>年各月公告之宣告利率實際數值與測試模型計算之數值列表比較，並據以說明該宣告利率公式及其參數值之合理性。</w:t>
            </w:r>
            <w:r w:rsidR="008F633B" w:rsidRPr="00180FDD">
              <w:rPr>
                <w:rFonts w:eastAsia="標楷體" w:hint="eastAsia"/>
              </w:rPr>
              <w:t>(</w:t>
            </w:r>
            <w:r w:rsidR="00547DAF" w:rsidRPr="00180FDD">
              <w:rPr>
                <w:rFonts w:eastAsia="標楷體"/>
              </w:rPr>
              <w:t>詳指定附表</w:t>
            </w:r>
            <w:r w:rsidR="00547DAF" w:rsidRPr="00180FDD">
              <w:rPr>
                <w:rFonts w:eastAsia="標楷體"/>
              </w:rPr>
              <w:t>12-1</w:t>
            </w:r>
            <w:r w:rsidR="008F633B" w:rsidRPr="00180FDD">
              <w:rPr>
                <w:rFonts w:eastAsia="標楷體" w:hint="eastAsia"/>
              </w:rPr>
              <w:t>)</w:t>
            </w:r>
          </w:p>
        </w:tc>
      </w:tr>
      <w:tr w:rsidR="00180FDD" w:rsidRPr="00180FDD" w:rsidTr="00E01844">
        <w:trPr>
          <w:trHeight w:val="557"/>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五十二、</w:t>
            </w:r>
            <w:r w:rsidR="00547DAF" w:rsidRPr="00180FDD">
              <w:rPr>
                <w:rFonts w:eastAsia="標楷體"/>
              </w:rPr>
              <w:t>簽證精算人員應以現金流量測試法進行利率變動型商品準備金適足性分析，其測試模型應依商品特性考量動態脫退率及保費續繳率之假設，並在極端利率情境下，就宣告利率數值與二年期無風險利率差異程度，說明動態脫退率假設之合理性。</w:t>
            </w:r>
          </w:p>
          <w:p w:rsidR="00547DAF" w:rsidRPr="00180FDD" w:rsidRDefault="00547DAF" w:rsidP="008F633B">
            <w:pPr>
              <w:tabs>
                <w:tab w:val="left" w:pos="972"/>
              </w:tabs>
              <w:kinsoku w:val="0"/>
              <w:overflowPunct w:val="0"/>
              <w:spacing w:line="360" w:lineRule="auto"/>
              <w:ind w:leftChars="400" w:left="960"/>
              <w:jc w:val="both"/>
              <w:textAlignment w:val="center"/>
              <w:rPr>
                <w:rFonts w:eastAsia="標楷體"/>
              </w:rPr>
            </w:pPr>
            <w:r w:rsidRPr="00180FDD">
              <w:rPr>
                <w:rFonts w:eastAsia="標楷體"/>
              </w:rPr>
              <w:t>針對第一個無收取解約費用的保單年度，應考慮較高的脫退情形。</w:t>
            </w:r>
            <w:r w:rsidR="008F633B" w:rsidRPr="00180FDD">
              <w:rPr>
                <w:rFonts w:eastAsia="標楷體" w:hint="eastAsia"/>
              </w:rPr>
              <w:t>(</w:t>
            </w:r>
            <w:r w:rsidRPr="00180FDD">
              <w:rPr>
                <w:rFonts w:eastAsia="標楷體"/>
              </w:rPr>
              <w:t>詳指定附表</w:t>
            </w:r>
            <w:r w:rsidRPr="00180FDD">
              <w:rPr>
                <w:rFonts w:eastAsia="標楷體"/>
              </w:rPr>
              <w:t>12-2</w:t>
            </w:r>
            <w:r w:rsidR="008F633B" w:rsidRPr="00180FDD">
              <w:rPr>
                <w:rFonts w:eastAsia="標楷體" w:hint="eastAsia"/>
              </w:rPr>
              <w:t>)</w:t>
            </w:r>
          </w:p>
        </w:tc>
      </w:tr>
      <w:tr w:rsidR="00180FDD" w:rsidRPr="00180FDD" w:rsidTr="00E01844">
        <w:trPr>
          <w:trHeight w:val="557"/>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五十三、</w:t>
            </w:r>
            <w:r w:rsidR="00547DAF" w:rsidRPr="00180FDD">
              <w:rPr>
                <w:rFonts w:eastAsia="標楷體"/>
              </w:rPr>
              <w:t>簽證精算人員應提供利率變動型商品準備金適足性測試結果</w:t>
            </w:r>
            <w:r w:rsidR="008F633B" w:rsidRPr="00180FDD">
              <w:rPr>
                <w:rFonts w:eastAsia="標楷體" w:hint="eastAsia"/>
              </w:rPr>
              <w:t>(</w:t>
            </w:r>
            <w:r w:rsidR="00547DAF" w:rsidRPr="00180FDD">
              <w:rPr>
                <w:rFonts w:eastAsia="標楷體"/>
              </w:rPr>
              <w:t>詳指定附表</w:t>
            </w:r>
            <w:r w:rsidR="00547DAF" w:rsidRPr="00180FDD">
              <w:rPr>
                <w:rFonts w:eastAsia="標楷體"/>
              </w:rPr>
              <w:t>5</w:t>
            </w:r>
            <w:r w:rsidR="00547DAF" w:rsidRPr="00180FDD">
              <w:rPr>
                <w:rFonts w:eastAsia="標楷體"/>
              </w:rPr>
              <w:t>及指定附表</w:t>
            </w:r>
            <w:r w:rsidR="002A1B38" w:rsidRPr="00180FDD">
              <w:rPr>
                <w:rFonts w:eastAsia="標楷體"/>
              </w:rPr>
              <w:t>6</w:t>
            </w:r>
            <w:r w:rsidR="008F633B" w:rsidRPr="00180FDD">
              <w:rPr>
                <w:rFonts w:eastAsia="標楷體" w:hint="eastAsia"/>
              </w:rPr>
              <w:t>)</w:t>
            </w:r>
            <w:r w:rsidR="00547DAF" w:rsidRPr="00180FDD">
              <w:rPr>
                <w:rFonts w:eastAsia="標楷體"/>
              </w:rPr>
              <w:t>，</w:t>
            </w:r>
            <w:r w:rsidR="00326FF6" w:rsidRPr="00180FDD">
              <w:rPr>
                <w:rFonts w:eastAsia="標楷體"/>
              </w:rPr>
              <w:t>若準備金適足性測試採向一般帳戶借貸者，應進一步提供在未向一般帳戶借貸且採直接處分資產策略下之準備金適足性測試結果。</w:t>
            </w:r>
            <w:r w:rsidR="00547DAF" w:rsidRPr="00180FDD">
              <w:rPr>
                <w:rFonts w:eastAsia="標楷體"/>
              </w:rPr>
              <w:t>如整體責任準備金或新契約保費收入占率顯著，則應單獨載明不低於</w:t>
            </w:r>
            <w:r w:rsidR="00547DAF" w:rsidRPr="00180FDD">
              <w:rPr>
                <w:rFonts w:eastAsia="標楷體"/>
              </w:rPr>
              <w:t>CTE65</w:t>
            </w:r>
            <w:r w:rsidR="00547DAF" w:rsidRPr="00180FDD">
              <w:rPr>
                <w:rFonts w:eastAsia="標楷體"/>
              </w:rPr>
              <w:t>之準備金適足性判斷標準，</w:t>
            </w:r>
            <w:r w:rsidR="00E352F0" w:rsidRPr="00180FDD">
              <w:rPr>
                <w:rFonts w:eastAsia="標楷體"/>
              </w:rPr>
              <w:t>且</w:t>
            </w:r>
            <w:r w:rsidR="007716CA" w:rsidRPr="00180FDD">
              <w:rPr>
                <w:rFonts w:eastAsia="標楷體"/>
              </w:rPr>
              <w:t>就</w:t>
            </w:r>
            <w:r w:rsidR="007716CA" w:rsidRPr="00180FDD">
              <w:rPr>
                <w:rFonts w:eastAsia="標楷體"/>
              </w:rPr>
              <w:t>1</w:t>
            </w:r>
            <w:r w:rsidR="00BD5392" w:rsidRPr="00180FDD">
              <w:rPr>
                <w:rFonts w:eastAsia="標楷體"/>
              </w:rPr>
              <w:t>,</w:t>
            </w:r>
            <w:r w:rsidR="007716CA" w:rsidRPr="00180FDD">
              <w:rPr>
                <w:rFonts w:eastAsia="標楷體"/>
              </w:rPr>
              <w:t>000</w:t>
            </w:r>
            <w:r w:rsidR="007716CA" w:rsidRPr="00180FDD">
              <w:rPr>
                <w:rFonts w:eastAsia="標楷體"/>
              </w:rPr>
              <w:t>組情境、主管機關指定情境、</w:t>
            </w:r>
            <w:r w:rsidR="007716CA" w:rsidRPr="00180FDD">
              <w:rPr>
                <w:rFonts w:eastAsia="標楷體"/>
              </w:rPr>
              <w:t>NY7</w:t>
            </w:r>
            <w:r w:rsidR="007716CA" w:rsidRPr="00180FDD">
              <w:rPr>
                <w:rFonts w:eastAsia="標楷體"/>
              </w:rPr>
              <w:t>情境、最佳估計情境及極端情境之測試結果及其合理性深入分析並適當表達精算意見</w:t>
            </w:r>
            <w:r w:rsidR="00547DAF" w:rsidRPr="00180FDD">
              <w:rPr>
                <w:rFonts w:eastAsia="標楷體"/>
              </w:rPr>
              <w:t>，若有不適足者，應提供</w:t>
            </w:r>
            <w:r w:rsidR="00377D37" w:rsidRPr="00180FDD">
              <w:rPr>
                <w:rFonts w:eastAsia="標楷體"/>
              </w:rPr>
              <w:t>簽署</w:t>
            </w:r>
            <w:r w:rsidR="00547DAF" w:rsidRPr="00180FDD">
              <w:rPr>
                <w:rFonts w:eastAsia="標楷體"/>
              </w:rPr>
              <w:t>公司達該準備金適足性標準所需立即增提之準備金金額。</w:t>
            </w:r>
            <w:r w:rsidR="00A240A6" w:rsidRPr="00180FDD">
              <w:rPr>
                <w:rFonts w:eastAsia="標楷體"/>
              </w:rPr>
              <w:t>檢送主管機關之補提計畫若採分次增提準備金者，該增提年限最長不得超過負債面所計算不含保費收入之麥氏存續期間</w:t>
            </w:r>
            <w:r w:rsidR="008F633B" w:rsidRPr="00180FDD">
              <w:rPr>
                <w:rFonts w:eastAsia="標楷體" w:hint="eastAsia"/>
              </w:rPr>
              <w:t>(</w:t>
            </w:r>
            <w:r w:rsidR="00A240A6" w:rsidRPr="00180FDD">
              <w:rPr>
                <w:rFonts w:eastAsia="標楷體"/>
              </w:rPr>
              <w:t>Macaulay Duration</w:t>
            </w:r>
            <w:r w:rsidR="008F633B" w:rsidRPr="00180FDD">
              <w:rPr>
                <w:rFonts w:eastAsia="標楷體" w:hint="eastAsia"/>
              </w:rPr>
              <w:t>)</w:t>
            </w:r>
            <w:r w:rsidR="00E352F0" w:rsidRPr="00180FDD">
              <w:rPr>
                <w:rFonts w:eastAsia="標楷體"/>
              </w:rPr>
              <w:t>，與</w:t>
            </w:r>
            <w:r w:rsidR="00E352F0" w:rsidRPr="00180FDD">
              <w:rPr>
                <w:rFonts w:eastAsia="標楷體"/>
              </w:rPr>
              <w:t>10</w:t>
            </w:r>
            <w:r w:rsidR="00E352F0" w:rsidRPr="00180FDD">
              <w:rPr>
                <w:rFonts w:eastAsia="標楷體"/>
              </w:rPr>
              <w:t>年取小值</w:t>
            </w:r>
            <w:r w:rsidR="00A240A6" w:rsidRPr="00180FDD">
              <w:rPr>
                <w:rFonts w:eastAsia="標楷體"/>
              </w:rPr>
              <w:lastRenderedPageBreak/>
              <w:t>。</w:t>
            </w:r>
          </w:p>
          <w:p w:rsidR="0097693F" w:rsidRPr="00180FDD" w:rsidRDefault="0097693F" w:rsidP="00B35189">
            <w:pPr>
              <w:tabs>
                <w:tab w:val="left" w:pos="972"/>
              </w:tabs>
              <w:kinsoku w:val="0"/>
              <w:overflowPunct w:val="0"/>
              <w:spacing w:line="360" w:lineRule="auto"/>
              <w:ind w:left="960"/>
              <w:jc w:val="both"/>
              <w:textAlignment w:val="center"/>
              <w:rPr>
                <w:rFonts w:eastAsia="標楷體"/>
              </w:rPr>
            </w:pPr>
            <w:r w:rsidRPr="00180FDD">
              <w:rPr>
                <w:rFonts w:eastAsia="標楷體"/>
              </w:rPr>
              <w:t>利率變動型商品準備金</w:t>
            </w:r>
            <w:r w:rsidR="00D50BE9" w:rsidRPr="00180FDD">
              <w:rPr>
                <w:rFonts w:eastAsia="標楷體" w:hint="eastAsia"/>
              </w:rPr>
              <w:t>占</w:t>
            </w:r>
            <w:r w:rsidRPr="00180FDD">
              <w:rPr>
                <w:rFonts w:eastAsia="標楷體"/>
              </w:rPr>
              <w:t>率不顯著之區隔帳戶可考量併入未區隔資產執行準備金適足性測試。</w:t>
            </w:r>
          </w:p>
        </w:tc>
      </w:tr>
    </w:tbl>
    <w:p w:rsidR="00547DAF" w:rsidRPr="00180FDD" w:rsidRDefault="00547DAF" w:rsidP="00B35189">
      <w:pPr>
        <w:kinsoku w:val="0"/>
        <w:overflowPunct w:val="0"/>
        <w:spacing w:line="360" w:lineRule="auto"/>
        <w:jc w:val="both"/>
        <w:textAlignment w:val="center"/>
        <w:rPr>
          <w:rFonts w:eastAsia="標楷體"/>
          <w:b/>
        </w:rPr>
      </w:pPr>
      <w:r w:rsidRPr="00180FDD">
        <w:rPr>
          <w:rFonts w:eastAsia="標楷體"/>
        </w:rPr>
        <w:lastRenderedPageBreak/>
        <w:t>第三節、特定</w:t>
      </w:r>
      <w:r w:rsidRPr="00180FDD">
        <w:rPr>
          <w:rFonts w:eastAsia="標楷體"/>
          <w:kern w:val="0"/>
        </w:rPr>
        <w:t>複利增額型終身壽險商品</w:t>
      </w:r>
    </w:p>
    <w:tbl>
      <w:tblPr>
        <w:tblW w:w="9360" w:type="dxa"/>
        <w:tblInd w:w="108" w:type="dxa"/>
        <w:tblLook w:val="01E0" w:firstRow="1" w:lastRow="1" w:firstColumn="1" w:lastColumn="1" w:noHBand="0" w:noVBand="0"/>
      </w:tblPr>
      <w:tblGrid>
        <w:gridCol w:w="9360"/>
      </w:tblGrid>
      <w:tr w:rsidR="00180FDD" w:rsidRPr="00180FDD" w:rsidTr="00E01844">
        <w:trPr>
          <w:trHeight w:val="557"/>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五十四、</w:t>
            </w:r>
            <w:r w:rsidR="00547DAF" w:rsidRPr="00180FDD">
              <w:rPr>
                <w:rFonts w:eastAsia="標楷體"/>
              </w:rPr>
              <w:t>本說明所稱特定複利增額型終身壽險係指在保險契約有效期間內，當年度保險金額依契約約定之保險金額以複利方式計算，且有下列情事之一之終身壽險：</w:t>
            </w:r>
          </w:p>
          <w:p w:rsidR="00547DAF" w:rsidRPr="00180FDD" w:rsidRDefault="008F633B" w:rsidP="008F633B">
            <w:pPr>
              <w:tabs>
                <w:tab w:val="left" w:pos="732"/>
              </w:tabs>
              <w:kinsoku w:val="0"/>
              <w:overflowPunct w:val="0"/>
              <w:spacing w:line="360" w:lineRule="auto"/>
              <w:ind w:leftChars="400" w:left="1452" w:hangingChars="205" w:hanging="492"/>
              <w:jc w:val="both"/>
              <w:textAlignment w:val="center"/>
              <w:rPr>
                <w:rFonts w:eastAsia="標楷體"/>
              </w:rPr>
            </w:pPr>
            <w:r w:rsidRPr="00180FDD">
              <w:rPr>
                <w:rFonts w:eastAsia="標楷體" w:hint="eastAsia"/>
              </w:rPr>
              <w:t>(</w:t>
            </w:r>
            <w:r w:rsidR="00547DAF" w:rsidRPr="00180FDD">
              <w:rPr>
                <w:rFonts w:eastAsia="標楷體"/>
              </w:rPr>
              <w:t>一</w:t>
            </w:r>
            <w:r w:rsidRPr="00180FDD">
              <w:rPr>
                <w:rFonts w:eastAsia="標楷體" w:hint="eastAsia"/>
              </w:rPr>
              <w:t>)</w:t>
            </w:r>
            <w:r w:rsidR="00547DAF" w:rsidRPr="00180FDD">
              <w:rPr>
                <w:rFonts w:eastAsia="標楷體"/>
              </w:rPr>
              <w:t>身故保險金約定以當年度保險金額、所繳保費總和及保單價值準備金三者之最大值給付，且該責任準備金及保費不足準備金未依前揭身故保險金基礎計提。</w:t>
            </w:r>
          </w:p>
          <w:p w:rsidR="00547DAF" w:rsidRPr="00180FDD" w:rsidRDefault="008F633B" w:rsidP="008F633B">
            <w:pPr>
              <w:tabs>
                <w:tab w:val="left" w:pos="732"/>
              </w:tabs>
              <w:kinsoku w:val="0"/>
              <w:overflowPunct w:val="0"/>
              <w:spacing w:line="360" w:lineRule="auto"/>
              <w:ind w:leftChars="400" w:left="1452" w:hangingChars="205" w:hanging="492"/>
              <w:jc w:val="both"/>
              <w:textAlignment w:val="center"/>
              <w:rPr>
                <w:rFonts w:eastAsia="標楷體"/>
              </w:rPr>
            </w:pPr>
            <w:r w:rsidRPr="00180FDD">
              <w:rPr>
                <w:rFonts w:eastAsia="標楷體" w:hint="eastAsia"/>
              </w:rPr>
              <w:t>(</w:t>
            </w:r>
            <w:r w:rsidR="00547DAF" w:rsidRPr="00180FDD">
              <w:rPr>
                <w:rFonts w:eastAsia="標楷體"/>
              </w:rPr>
              <w:t>二</w:t>
            </w:r>
            <w:r w:rsidRPr="00180FDD">
              <w:rPr>
                <w:rFonts w:eastAsia="標楷體" w:hint="eastAsia"/>
              </w:rPr>
              <w:t>)</w:t>
            </w:r>
            <w:r w:rsidR="00547DAF" w:rsidRPr="00180FDD">
              <w:rPr>
                <w:rFonts w:eastAsia="標楷體"/>
              </w:rPr>
              <w:t>前款身故保險金與當年度保險金額之差額，未依契約訂定當時之人身保險業新臺幣及外幣保單新契約責任準備金利率自動調整精算公式計算之責任準備金利率計提責任準備金。</w:t>
            </w:r>
          </w:p>
        </w:tc>
      </w:tr>
      <w:tr w:rsidR="00180FDD" w:rsidRPr="00180FDD" w:rsidTr="00E01844">
        <w:trPr>
          <w:trHeight w:val="557"/>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五十五、</w:t>
            </w:r>
            <w:r w:rsidR="00547DAF" w:rsidRPr="00180FDD">
              <w:rPr>
                <w:rFonts w:eastAsia="標楷體"/>
              </w:rPr>
              <w:t>簽證精算人員應載明所有特定複利增額型終身壽險之商品名稱、銷售日期及責任準備金金額，並說明是否適用</w:t>
            </w:r>
            <w:smartTag w:uri="urn:schemas-microsoft-com:office:smarttags" w:element="chsdate">
              <w:smartTagPr>
                <w:attr w:name="Year" w:val="1994"/>
                <w:attr w:name="Month" w:val="4"/>
                <w:attr w:name="Day" w:val="29"/>
                <w:attr w:name="IsLunarDate" w:val="False"/>
                <w:attr w:name="IsROCDate" w:val="False"/>
              </w:smartTagPr>
              <w:r w:rsidR="00547DAF" w:rsidRPr="00180FDD">
                <w:rPr>
                  <w:rFonts w:eastAsia="標楷體"/>
                </w:rPr>
                <w:t>94</w:t>
              </w:r>
              <w:r w:rsidR="00547DAF" w:rsidRPr="00180FDD">
                <w:rPr>
                  <w:rFonts w:eastAsia="標楷體"/>
                </w:rPr>
                <w:t>年</w:t>
              </w:r>
              <w:r w:rsidR="00547DAF" w:rsidRPr="00180FDD">
                <w:rPr>
                  <w:rFonts w:eastAsia="標楷體"/>
                </w:rPr>
                <w:t>4</w:t>
              </w:r>
              <w:r w:rsidR="00547DAF" w:rsidRPr="00180FDD">
                <w:rPr>
                  <w:rFonts w:eastAsia="標楷體"/>
                </w:rPr>
                <w:t>月</w:t>
              </w:r>
              <w:r w:rsidR="00547DAF" w:rsidRPr="00180FDD">
                <w:rPr>
                  <w:rFonts w:eastAsia="標楷體"/>
                </w:rPr>
                <w:t>29</w:t>
              </w:r>
              <w:r w:rsidR="00547DAF" w:rsidRPr="00180FDD">
                <w:rPr>
                  <w:rFonts w:eastAsia="標楷體"/>
                </w:rPr>
                <w:t>日</w:t>
              </w:r>
            </w:smartTag>
            <w:r w:rsidR="00547DAF" w:rsidRPr="00180FDD">
              <w:rPr>
                <w:rFonts w:eastAsia="標楷體"/>
              </w:rPr>
              <w:t>金管保一字第</w:t>
            </w:r>
            <w:r w:rsidR="00547DAF" w:rsidRPr="00180FDD">
              <w:rPr>
                <w:rFonts w:eastAsia="標楷體"/>
              </w:rPr>
              <w:t>09402900711</w:t>
            </w:r>
            <w:r w:rsidR="00547DAF" w:rsidRPr="00180FDD">
              <w:rPr>
                <w:rFonts w:eastAsia="標楷體"/>
              </w:rPr>
              <w:t>號函及</w:t>
            </w:r>
            <w:smartTag w:uri="urn:schemas-microsoft-com:office:smarttags" w:element="chsdate">
              <w:smartTagPr>
                <w:attr w:name="Year" w:val="1994"/>
                <w:attr w:name="Month" w:val="9"/>
                <w:attr w:name="Day" w:val="16"/>
                <w:attr w:name="IsLunarDate" w:val="False"/>
                <w:attr w:name="IsROCDate" w:val="False"/>
              </w:smartTagPr>
              <w:r w:rsidR="00547DAF" w:rsidRPr="00180FDD">
                <w:rPr>
                  <w:rFonts w:eastAsia="標楷體"/>
                </w:rPr>
                <w:t>94</w:t>
              </w:r>
              <w:r w:rsidR="00547DAF" w:rsidRPr="00180FDD">
                <w:rPr>
                  <w:rFonts w:eastAsia="標楷體"/>
                </w:rPr>
                <w:t>年</w:t>
              </w:r>
              <w:r w:rsidR="00547DAF" w:rsidRPr="00180FDD">
                <w:rPr>
                  <w:rFonts w:eastAsia="標楷體"/>
                </w:rPr>
                <w:t>9</w:t>
              </w:r>
              <w:r w:rsidR="00547DAF" w:rsidRPr="00180FDD">
                <w:rPr>
                  <w:rFonts w:eastAsia="標楷體"/>
                </w:rPr>
                <w:t>月</w:t>
              </w:r>
              <w:r w:rsidR="00547DAF" w:rsidRPr="00180FDD">
                <w:rPr>
                  <w:rFonts w:eastAsia="標楷體"/>
                </w:rPr>
                <w:t>16</w:t>
              </w:r>
              <w:r w:rsidR="00547DAF" w:rsidRPr="00180FDD">
                <w:rPr>
                  <w:rFonts w:eastAsia="標楷體"/>
                </w:rPr>
                <w:t>日</w:t>
              </w:r>
            </w:smartTag>
            <w:r w:rsidR="00547DAF" w:rsidRPr="00180FDD">
              <w:rPr>
                <w:rFonts w:eastAsia="標楷體"/>
              </w:rPr>
              <w:t>金管保一字第</w:t>
            </w:r>
            <w:r w:rsidR="00547DAF" w:rsidRPr="00180FDD">
              <w:rPr>
                <w:rFonts w:eastAsia="標楷體"/>
              </w:rPr>
              <w:t>09402089510</w:t>
            </w:r>
            <w:r w:rsidR="00547DAF" w:rsidRPr="00180FDD">
              <w:rPr>
                <w:rFonts w:eastAsia="標楷體"/>
              </w:rPr>
              <w:t>號函，如適用前述該等函文，其實際投資報酬率所參採各年度間評估指標及評估方式應具一致性。</w:t>
            </w:r>
          </w:p>
          <w:p w:rsidR="00547DAF" w:rsidRPr="00180FDD" w:rsidRDefault="00547DAF" w:rsidP="00B35189">
            <w:pPr>
              <w:tabs>
                <w:tab w:val="left" w:pos="972"/>
              </w:tabs>
              <w:kinsoku w:val="0"/>
              <w:overflowPunct w:val="0"/>
              <w:spacing w:line="360" w:lineRule="auto"/>
              <w:ind w:leftChars="400" w:left="960"/>
              <w:jc w:val="both"/>
              <w:textAlignment w:val="center"/>
              <w:rPr>
                <w:rFonts w:eastAsia="標楷體"/>
              </w:rPr>
            </w:pPr>
            <w:r w:rsidRPr="00180FDD">
              <w:rPr>
                <w:rFonts w:eastAsia="標楷體"/>
              </w:rPr>
              <w:t>如有符合前項規定之商品且公司實際投資報酬率低於身故保險金</w:t>
            </w:r>
            <w:r w:rsidR="00B166B8" w:rsidRPr="00180FDD">
              <w:rPr>
                <w:rFonts w:eastAsia="標楷體" w:hint="eastAsia"/>
              </w:rPr>
              <w:t>(</w:t>
            </w:r>
            <w:r w:rsidRPr="00180FDD">
              <w:rPr>
                <w:rFonts w:eastAsia="標楷體"/>
              </w:rPr>
              <w:t>以所繳保險費、保單價值準備金和當年度保險金額三者之最大值</w:t>
            </w:r>
            <w:r w:rsidR="00B166B8" w:rsidRPr="00180FDD">
              <w:rPr>
                <w:rFonts w:eastAsia="標楷體" w:hint="eastAsia"/>
              </w:rPr>
              <w:t>)</w:t>
            </w:r>
            <w:r w:rsidRPr="00180FDD">
              <w:rPr>
                <w:rFonts w:eastAsia="標楷體"/>
              </w:rPr>
              <w:t>扣除當年度保險金額後差額</w:t>
            </w:r>
            <w:r w:rsidR="00B166B8" w:rsidRPr="00180FDD">
              <w:rPr>
                <w:rFonts w:eastAsia="標楷體" w:hint="eastAsia"/>
              </w:rPr>
              <w:t>(</w:t>
            </w:r>
            <w:r w:rsidRPr="00180FDD">
              <w:rPr>
                <w:rFonts w:eastAsia="標楷體"/>
              </w:rPr>
              <w:t>以下簡稱增提保額</w:t>
            </w:r>
            <w:r w:rsidR="00B166B8" w:rsidRPr="00180FDD">
              <w:rPr>
                <w:rFonts w:eastAsia="標楷體" w:hint="eastAsia"/>
              </w:rPr>
              <w:t>)</w:t>
            </w:r>
            <w:r w:rsidRPr="00180FDD">
              <w:rPr>
                <w:rFonts w:eastAsia="標楷體"/>
              </w:rPr>
              <w:t>之責任準備金利率者，簽證精算人員應以公司實際投資報酬率為基礎重新評估擇定適當之責任準備金提存利率，並計算責任準備金增提金額。</w:t>
            </w:r>
          </w:p>
          <w:p w:rsidR="00547DAF" w:rsidRPr="00180FDD" w:rsidRDefault="00547DAF" w:rsidP="00B35189">
            <w:pPr>
              <w:tabs>
                <w:tab w:val="left" w:pos="972"/>
              </w:tabs>
              <w:kinsoku w:val="0"/>
              <w:overflowPunct w:val="0"/>
              <w:spacing w:line="360" w:lineRule="auto"/>
              <w:ind w:leftChars="400" w:left="960"/>
              <w:jc w:val="both"/>
              <w:textAlignment w:val="center"/>
              <w:rPr>
                <w:rFonts w:eastAsia="標楷體"/>
              </w:rPr>
            </w:pPr>
            <w:r w:rsidRPr="00180FDD">
              <w:rPr>
                <w:rFonts w:eastAsia="標楷體"/>
              </w:rPr>
              <w:t>前項擇定適當之責任準備金提存利率，所參採各年度間評估指標及評估方式應具一致性，該利率不得高於前期且以發單當時主管機關所規定之新契約責任準備金利率為下限。</w:t>
            </w:r>
          </w:p>
          <w:p w:rsidR="00547DAF" w:rsidRPr="00180FDD" w:rsidRDefault="00447A4D" w:rsidP="00B166B8">
            <w:pPr>
              <w:tabs>
                <w:tab w:val="left" w:pos="972"/>
              </w:tabs>
              <w:kinsoku w:val="0"/>
              <w:overflowPunct w:val="0"/>
              <w:spacing w:line="360" w:lineRule="auto"/>
              <w:ind w:leftChars="400" w:left="960"/>
              <w:jc w:val="both"/>
              <w:textAlignment w:val="center"/>
              <w:rPr>
                <w:rFonts w:eastAsia="標楷體"/>
              </w:rPr>
            </w:pPr>
            <w:r w:rsidRPr="00180FDD">
              <w:rPr>
                <w:rFonts w:eastAsia="標楷體"/>
              </w:rPr>
              <w:t>簽證精算人員應提供第二</w:t>
            </w:r>
            <w:r w:rsidR="00547DAF" w:rsidRPr="00180FDD">
              <w:rPr>
                <w:rFonts w:eastAsia="標楷體"/>
              </w:rPr>
              <w:t>項重新評估擇定適當之責任準備金提存利率、商品送</w:t>
            </w:r>
            <w:r w:rsidR="00547DAF" w:rsidRPr="00180FDD">
              <w:rPr>
                <w:rFonts w:eastAsia="標楷體"/>
              </w:rPr>
              <w:lastRenderedPageBreak/>
              <w:t>審時載明增提保額之責任準備金提存利率以及新契約責任準備金提存利率之三種基礎計算之責任準備金提存金額</w:t>
            </w:r>
            <w:r w:rsidR="00B166B8" w:rsidRPr="00180FDD">
              <w:rPr>
                <w:rFonts w:eastAsia="標楷體" w:hint="eastAsia"/>
              </w:rPr>
              <w:t>(</w:t>
            </w:r>
            <w:r w:rsidR="00547DAF" w:rsidRPr="00180FDD">
              <w:rPr>
                <w:rFonts w:eastAsia="標楷體"/>
              </w:rPr>
              <w:t>詳指定附表</w:t>
            </w:r>
            <w:r w:rsidR="002A1B38" w:rsidRPr="00180FDD">
              <w:rPr>
                <w:rFonts w:eastAsia="標楷體"/>
              </w:rPr>
              <w:t>4-A</w:t>
            </w:r>
            <w:r w:rsidR="00B166B8" w:rsidRPr="00180FDD">
              <w:rPr>
                <w:rFonts w:eastAsia="標楷體" w:hint="eastAsia"/>
              </w:rPr>
              <w:t>)</w:t>
            </w:r>
            <w:r w:rsidR="00547DAF" w:rsidRPr="00180FDD">
              <w:rPr>
                <w:rFonts w:eastAsia="標楷體"/>
              </w:rPr>
              <w:t>。</w:t>
            </w:r>
          </w:p>
          <w:p w:rsidR="00180FDD" w:rsidRPr="00180FDD" w:rsidRDefault="00180FDD" w:rsidP="00180FDD">
            <w:pPr>
              <w:kinsoku w:val="0"/>
              <w:overflowPunct w:val="0"/>
              <w:spacing w:line="360" w:lineRule="auto"/>
              <w:ind w:left="960" w:hangingChars="400" w:hanging="960"/>
              <w:jc w:val="both"/>
              <w:textAlignment w:val="center"/>
              <w:rPr>
                <w:rFonts w:eastAsia="標楷體"/>
              </w:rPr>
            </w:pPr>
            <w:r w:rsidRPr="00180FDD">
              <w:rPr>
                <w:rFonts w:eastAsia="標楷體" w:hint="eastAsia"/>
              </w:rPr>
              <w:t>五十六、</w:t>
            </w:r>
            <w:r w:rsidRPr="00180FDD">
              <w:rPr>
                <w:rFonts w:eastAsia="標楷體" w:hint="eastAsia"/>
              </w:rPr>
              <w:t>(</w:t>
            </w:r>
            <w:r w:rsidRPr="00180FDD">
              <w:rPr>
                <w:rFonts w:eastAsia="標楷體" w:hint="eastAsia"/>
              </w:rPr>
              <w:t>刪除</w:t>
            </w:r>
            <w:r w:rsidRPr="00180FDD">
              <w:rPr>
                <w:rFonts w:eastAsia="標楷體" w:hint="eastAsia"/>
              </w:rPr>
              <w:t>)</w:t>
            </w:r>
          </w:p>
          <w:p w:rsidR="00180FDD" w:rsidRPr="00180FDD" w:rsidRDefault="00180FDD" w:rsidP="00180FDD">
            <w:pPr>
              <w:kinsoku w:val="0"/>
              <w:overflowPunct w:val="0"/>
              <w:spacing w:line="360" w:lineRule="auto"/>
              <w:ind w:left="960" w:hangingChars="400" w:hanging="960"/>
              <w:jc w:val="both"/>
              <w:textAlignment w:val="center"/>
              <w:rPr>
                <w:rFonts w:eastAsia="標楷體"/>
              </w:rPr>
            </w:pPr>
            <w:r w:rsidRPr="00180FDD">
              <w:rPr>
                <w:rFonts w:eastAsia="標楷體" w:hint="eastAsia"/>
              </w:rPr>
              <w:t>五十七、</w:t>
            </w:r>
            <w:r w:rsidRPr="00180FDD">
              <w:rPr>
                <w:rFonts w:eastAsia="標楷體" w:hint="eastAsia"/>
              </w:rPr>
              <w:t>(</w:t>
            </w:r>
            <w:r w:rsidRPr="00180FDD">
              <w:rPr>
                <w:rFonts w:eastAsia="標楷體" w:hint="eastAsia"/>
              </w:rPr>
              <w:t>刪除</w:t>
            </w:r>
            <w:r w:rsidRPr="00180FDD">
              <w:rPr>
                <w:rFonts w:eastAsia="標楷體" w:hint="eastAsia"/>
              </w:rPr>
              <w:t>)</w:t>
            </w:r>
          </w:p>
        </w:tc>
      </w:tr>
    </w:tbl>
    <w:p w:rsidR="00547DAF" w:rsidRPr="00180FDD" w:rsidRDefault="00547DAF" w:rsidP="00B35189">
      <w:pPr>
        <w:kinsoku w:val="0"/>
        <w:overflowPunct w:val="0"/>
        <w:spacing w:line="360" w:lineRule="auto"/>
        <w:jc w:val="both"/>
        <w:textAlignment w:val="center"/>
        <w:rPr>
          <w:rFonts w:eastAsia="標楷體"/>
          <w:b/>
        </w:rPr>
      </w:pPr>
      <w:r w:rsidRPr="00180FDD">
        <w:rPr>
          <w:rFonts w:eastAsia="標楷體"/>
        </w:rPr>
        <w:lastRenderedPageBreak/>
        <w:t>第四節、附保證給付之投資型保險商品</w:t>
      </w:r>
      <w:r w:rsidR="00B166B8" w:rsidRPr="00180FDD">
        <w:rPr>
          <w:rFonts w:eastAsia="標楷體" w:hint="eastAsia"/>
        </w:rPr>
        <w:t>(</w:t>
      </w:r>
      <w:r w:rsidRPr="00180FDD">
        <w:rPr>
          <w:rFonts w:eastAsia="標楷體"/>
        </w:rPr>
        <w:t>不停效保證以外</w:t>
      </w:r>
      <w:r w:rsidR="00B166B8" w:rsidRPr="00180FDD">
        <w:rPr>
          <w:rFonts w:eastAsia="標楷體" w:hint="eastAsia"/>
        </w:rPr>
        <w:t>)</w:t>
      </w:r>
    </w:p>
    <w:tbl>
      <w:tblPr>
        <w:tblW w:w="9360" w:type="dxa"/>
        <w:tblInd w:w="108" w:type="dxa"/>
        <w:tblLook w:val="01E0" w:firstRow="1" w:lastRow="1" w:firstColumn="1" w:lastColumn="1" w:noHBand="0" w:noVBand="0"/>
      </w:tblPr>
      <w:tblGrid>
        <w:gridCol w:w="9360"/>
      </w:tblGrid>
      <w:tr w:rsidR="00180FDD" w:rsidRPr="00180FDD" w:rsidTr="00E01844">
        <w:trPr>
          <w:trHeight w:val="557"/>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五十八、</w:t>
            </w:r>
            <w:r w:rsidR="00547DAF" w:rsidRPr="00180FDD">
              <w:rPr>
                <w:rFonts w:eastAsia="標楷體"/>
              </w:rPr>
              <w:t>簽證精算人員對於附保證給付之投資型保險商品，應檢附商品送審時之下列各款：</w:t>
            </w:r>
          </w:p>
          <w:p w:rsidR="00547DAF" w:rsidRPr="00180FDD" w:rsidRDefault="00B166B8" w:rsidP="00B166B8">
            <w:pPr>
              <w:tabs>
                <w:tab w:val="left" w:pos="732"/>
              </w:tabs>
              <w:kinsoku w:val="0"/>
              <w:overflowPunct w:val="0"/>
              <w:spacing w:line="360" w:lineRule="auto"/>
              <w:ind w:leftChars="399" w:left="1306" w:hangingChars="145" w:hanging="348"/>
              <w:jc w:val="both"/>
              <w:textAlignment w:val="center"/>
              <w:rPr>
                <w:rFonts w:eastAsia="標楷體"/>
              </w:rPr>
            </w:pPr>
            <w:r w:rsidRPr="00180FDD">
              <w:rPr>
                <w:rFonts w:eastAsia="標楷體" w:hint="eastAsia"/>
              </w:rPr>
              <w:t>(</w:t>
            </w:r>
            <w:r w:rsidR="00547DAF" w:rsidRPr="00180FDD">
              <w:rPr>
                <w:rFonts w:eastAsia="標楷體"/>
              </w:rPr>
              <w:t>一</w:t>
            </w:r>
            <w:r w:rsidRPr="00180FDD">
              <w:rPr>
                <w:rFonts w:eastAsia="標楷體" w:hint="eastAsia"/>
              </w:rPr>
              <w:t>)</w:t>
            </w:r>
            <w:r w:rsidR="00547DAF" w:rsidRPr="00180FDD">
              <w:rPr>
                <w:rFonts w:eastAsia="標楷體"/>
              </w:rPr>
              <w:t>保證給付所承擔之風險成本、該風險成本之評估方式及其各項假設。</w:t>
            </w:r>
          </w:p>
          <w:p w:rsidR="00547DAF" w:rsidRPr="00180FDD" w:rsidRDefault="00B166B8" w:rsidP="00B166B8">
            <w:pPr>
              <w:tabs>
                <w:tab w:val="left" w:pos="732"/>
              </w:tabs>
              <w:kinsoku w:val="0"/>
              <w:overflowPunct w:val="0"/>
              <w:spacing w:line="360" w:lineRule="auto"/>
              <w:ind w:leftChars="399" w:left="1306" w:hangingChars="145" w:hanging="348"/>
              <w:jc w:val="both"/>
              <w:textAlignment w:val="center"/>
              <w:rPr>
                <w:rFonts w:eastAsia="標楷體"/>
              </w:rPr>
            </w:pPr>
            <w:r w:rsidRPr="00180FDD">
              <w:rPr>
                <w:rFonts w:eastAsia="標楷體" w:hint="eastAsia"/>
              </w:rPr>
              <w:t>(</w:t>
            </w:r>
            <w:r w:rsidR="00547DAF" w:rsidRPr="00180FDD">
              <w:rPr>
                <w:rFonts w:eastAsia="標楷體"/>
              </w:rPr>
              <w:t>二</w:t>
            </w:r>
            <w:r w:rsidRPr="00180FDD">
              <w:rPr>
                <w:rFonts w:eastAsia="標楷體" w:hint="eastAsia"/>
              </w:rPr>
              <w:t>)</w:t>
            </w:r>
            <w:r w:rsidR="00547DAF" w:rsidRPr="00180FDD">
              <w:rPr>
                <w:rFonts w:eastAsia="標楷體"/>
              </w:rPr>
              <w:t>保證給付責任準備金之計算方式、依據及其各項假設。</w:t>
            </w:r>
          </w:p>
          <w:p w:rsidR="00547DAF" w:rsidRPr="00180FDD" w:rsidRDefault="00B166B8" w:rsidP="00B166B8">
            <w:pPr>
              <w:tabs>
                <w:tab w:val="left" w:pos="732"/>
              </w:tabs>
              <w:kinsoku w:val="0"/>
              <w:overflowPunct w:val="0"/>
              <w:spacing w:line="360" w:lineRule="auto"/>
              <w:ind w:leftChars="400" w:left="1452" w:hangingChars="205" w:hanging="492"/>
              <w:jc w:val="both"/>
              <w:textAlignment w:val="center"/>
              <w:rPr>
                <w:rFonts w:eastAsia="標楷體"/>
              </w:rPr>
            </w:pPr>
            <w:r w:rsidRPr="00180FDD">
              <w:rPr>
                <w:rFonts w:eastAsia="標楷體" w:hint="eastAsia"/>
              </w:rPr>
              <w:t>(</w:t>
            </w:r>
            <w:r w:rsidR="00547DAF" w:rsidRPr="00180FDD">
              <w:rPr>
                <w:rFonts w:eastAsia="標楷體"/>
              </w:rPr>
              <w:t>三</w:t>
            </w:r>
            <w:r w:rsidRPr="00180FDD">
              <w:rPr>
                <w:rFonts w:eastAsia="標楷體" w:hint="eastAsia"/>
              </w:rPr>
              <w:t>)</w:t>
            </w:r>
            <w:r w:rsidR="00547DAF" w:rsidRPr="00180FDD">
              <w:rPr>
                <w:rFonts w:eastAsia="標楷體"/>
              </w:rPr>
              <w:t>為降低承擔之風險，所採行之資產配置策略、資產負債管理計畫或其他風險控管機制。</w:t>
            </w:r>
          </w:p>
        </w:tc>
      </w:tr>
      <w:tr w:rsidR="00180FDD" w:rsidRPr="00180FDD" w:rsidTr="00E01844">
        <w:trPr>
          <w:trHeight w:val="557"/>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五十九、</w:t>
            </w:r>
            <w:r w:rsidR="00547DAF" w:rsidRPr="00180FDD">
              <w:rPr>
                <w:rFonts w:eastAsia="標楷體"/>
              </w:rPr>
              <w:t>簽證精算人員對於附保證給付投資型商品之準備金適足性測試，應依人身保險業經營投資型保險業務應提存之各種準備金規範辦理，其準備金適足性測試應採隨機現金流量測試法，並載明各保證給付投資型商品之準備金適足性測試結果</w:t>
            </w:r>
            <w:r w:rsidR="00B166B8" w:rsidRPr="00180FDD">
              <w:rPr>
                <w:rFonts w:eastAsia="標楷體" w:hint="eastAsia"/>
              </w:rPr>
              <w:t>(</w:t>
            </w:r>
            <w:r w:rsidR="00547DAF" w:rsidRPr="00180FDD">
              <w:rPr>
                <w:rFonts w:eastAsia="標楷體"/>
              </w:rPr>
              <w:t>詳指定附表</w:t>
            </w:r>
            <w:r w:rsidR="002A1B38" w:rsidRPr="00180FDD">
              <w:rPr>
                <w:rFonts w:eastAsia="標楷體"/>
              </w:rPr>
              <w:t>6</w:t>
            </w:r>
            <w:r w:rsidR="00B166B8" w:rsidRPr="00180FDD">
              <w:rPr>
                <w:rFonts w:eastAsia="標楷體"/>
              </w:rPr>
              <w:t>)</w:t>
            </w:r>
            <w:r w:rsidR="00547DAF" w:rsidRPr="00180FDD">
              <w:rPr>
                <w:rFonts w:eastAsia="標楷體"/>
              </w:rPr>
              <w:t>及判斷標準，且適當表達精算意見。</w:t>
            </w:r>
          </w:p>
          <w:p w:rsidR="00547DAF" w:rsidRPr="00180FDD" w:rsidRDefault="00547DAF" w:rsidP="00B35189">
            <w:pPr>
              <w:tabs>
                <w:tab w:val="left" w:pos="972"/>
              </w:tabs>
              <w:kinsoku w:val="0"/>
              <w:overflowPunct w:val="0"/>
              <w:spacing w:line="360" w:lineRule="auto"/>
              <w:ind w:leftChars="400" w:left="960"/>
              <w:jc w:val="both"/>
              <w:textAlignment w:val="center"/>
              <w:rPr>
                <w:rFonts w:eastAsia="標楷體"/>
              </w:rPr>
            </w:pPr>
            <w:r w:rsidRPr="00180FDD">
              <w:rPr>
                <w:rFonts w:eastAsia="標楷體"/>
              </w:rPr>
              <w:t>前項適足性之判斷標準應比照所採用各該國家所定之標準，如所採之國外相關準則或適足性標準有變動，亦應更新，且不得低於</w:t>
            </w:r>
            <w:r w:rsidRPr="00180FDD">
              <w:rPr>
                <w:rFonts w:eastAsia="標楷體"/>
              </w:rPr>
              <w:t>CTE65</w:t>
            </w:r>
            <w:r w:rsidRPr="00180FDD">
              <w:rPr>
                <w:rFonts w:eastAsia="標楷體"/>
              </w:rPr>
              <w:t>。</w:t>
            </w:r>
          </w:p>
          <w:p w:rsidR="00547DAF" w:rsidRPr="00180FDD" w:rsidRDefault="00547DAF" w:rsidP="00B35189">
            <w:pPr>
              <w:tabs>
                <w:tab w:val="left" w:pos="972"/>
              </w:tabs>
              <w:kinsoku w:val="0"/>
              <w:overflowPunct w:val="0"/>
              <w:spacing w:line="360" w:lineRule="auto"/>
              <w:ind w:leftChars="400" w:left="960"/>
              <w:jc w:val="both"/>
              <w:textAlignment w:val="center"/>
              <w:rPr>
                <w:rFonts w:eastAsia="標楷體"/>
              </w:rPr>
            </w:pPr>
            <w:r w:rsidRPr="00180FDD">
              <w:rPr>
                <w:rFonts w:eastAsia="標楷體"/>
              </w:rPr>
              <w:t>精算人員應說明第一項隨機現金流量測試法中所採用之精算假設及隨機投資模型假設。</w:t>
            </w:r>
          </w:p>
          <w:p w:rsidR="00547DAF" w:rsidRPr="00180FDD" w:rsidRDefault="00547DAF" w:rsidP="00B35189">
            <w:pPr>
              <w:tabs>
                <w:tab w:val="left" w:pos="972"/>
              </w:tabs>
              <w:kinsoku w:val="0"/>
              <w:overflowPunct w:val="0"/>
              <w:spacing w:line="360" w:lineRule="auto"/>
              <w:ind w:leftChars="400" w:left="960"/>
              <w:jc w:val="both"/>
              <w:textAlignment w:val="center"/>
              <w:rPr>
                <w:rFonts w:eastAsia="標楷體"/>
              </w:rPr>
            </w:pPr>
            <w:bookmarkStart w:id="8" w:name="OLE_LINK11"/>
            <w:r w:rsidRPr="00180FDD">
              <w:rPr>
                <w:rFonts w:eastAsia="標楷體"/>
              </w:rPr>
              <w:t>前項</w:t>
            </w:r>
            <w:bookmarkEnd w:id="8"/>
            <w:r w:rsidRPr="00180FDD">
              <w:rPr>
                <w:rFonts w:eastAsia="標楷體"/>
              </w:rPr>
              <w:t>之精算假設應考量折現率、死亡率、動態脫退率、業務分布、保費續繳率、費用、保戶行為、商品之投資組合配置等假設；隨機投資模型假設應包括模型之隨機過程、模型參數、參數估計之依據及資料期間、校正結果及其合理性。</w:t>
            </w:r>
          </w:p>
          <w:p w:rsidR="00547DAF" w:rsidRPr="00180FDD" w:rsidRDefault="00547DAF" w:rsidP="00B166B8">
            <w:pPr>
              <w:tabs>
                <w:tab w:val="left" w:pos="972"/>
              </w:tabs>
              <w:kinsoku w:val="0"/>
              <w:overflowPunct w:val="0"/>
              <w:spacing w:line="360" w:lineRule="auto"/>
              <w:ind w:leftChars="400" w:left="960"/>
              <w:jc w:val="both"/>
              <w:textAlignment w:val="center"/>
              <w:rPr>
                <w:rFonts w:eastAsia="標楷體"/>
              </w:rPr>
            </w:pPr>
            <w:r w:rsidRPr="00180FDD">
              <w:rPr>
                <w:rFonts w:eastAsia="標楷體"/>
              </w:rPr>
              <w:t>若採美國保險監理官協會</w:t>
            </w:r>
            <w:r w:rsidR="00B166B8" w:rsidRPr="00180FDD">
              <w:rPr>
                <w:rFonts w:eastAsia="標楷體" w:hint="eastAsia"/>
              </w:rPr>
              <w:t>(</w:t>
            </w:r>
            <w:r w:rsidRPr="00180FDD">
              <w:rPr>
                <w:rFonts w:eastAsia="標楷體"/>
              </w:rPr>
              <w:t>NAIC</w:t>
            </w:r>
            <w:r w:rsidR="00B166B8" w:rsidRPr="00180FDD">
              <w:rPr>
                <w:rFonts w:eastAsia="標楷體"/>
              </w:rPr>
              <w:t>)</w:t>
            </w:r>
            <w:r w:rsidRPr="00180FDD">
              <w:rPr>
                <w:rFonts w:eastAsia="標楷體"/>
              </w:rPr>
              <w:t>所頒訂之</w:t>
            </w:r>
            <w:r w:rsidRPr="00180FDD">
              <w:rPr>
                <w:rFonts w:eastAsia="標楷體"/>
              </w:rPr>
              <w:t xml:space="preserve">ACTUARIAL GUIDELINE XLIII </w:t>
            </w:r>
            <w:r w:rsidR="00B166B8" w:rsidRPr="00180FDD">
              <w:rPr>
                <w:rFonts w:eastAsia="標楷體"/>
              </w:rPr>
              <w:t>(</w:t>
            </w:r>
            <w:r w:rsidRPr="00180FDD">
              <w:rPr>
                <w:rFonts w:eastAsia="標楷體"/>
              </w:rPr>
              <w:t>AG43</w:t>
            </w:r>
            <w:r w:rsidR="00B166B8" w:rsidRPr="00180FDD">
              <w:rPr>
                <w:rFonts w:eastAsia="標楷體"/>
              </w:rPr>
              <w:t>)</w:t>
            </w:r>
            <w:r w:rsidRPr="00180FDD">
              <w:rPr>
                <w:rFonts w:eastAsia="標楷體"/>
              </w:rPr>
              <w:t>規定者，應說明標準情境下之各項精算假設及資產模型假設。</w:t>
            </w:r>
          </w:p>
        </w:tc>
      </w:tr>
    </w:tbl>
    <w:p w:rsidR="00547DAF" w:rsidRPr="00180FDD" w:rsidRDefault="00547DAF" w:rsidP="00B35189">
      <w:pPr>
        <w:kinsoku w:val="0"/>
        <w:overflowPunct w:val="0"/>
        <w:spacing w:line="360" w:lineRule="auto"/>
        <w:jc w:val="both"/>
        <w:textAlignment w:val="center"/>
        <w:rPr>
          <w:rFonts w:eastAsia="標楷體"/>
          <w:b/>
        </w:rPr>
      </w:pPr>
      <w:r w:rsidRPr="00180FDD">
        <w:rPr>
          <w:rFonts w:eastAsia="標楷體"/>
        </w:rPr>
        <w:t>第五節、不停效保證</w:t>
      </w:r>
      <w:r w:rsidRPr="00180FDD">
        <w:rPr>
          <w:rFonts w:eastAsia="標楷體"/>
          <w:kern w:val="0"/>
        </w:rPr>
        <w:t>之投資型保險商品</w:t>
      </w:r>
    </w:p>
    <w:tbl>
      <w:tblPr>
        <w:tblW w:w="9360" w:type="dxa"/>
        <w:tblInd w:w="108" w:type="dxa"/>
        <w:tblLook w:val="01E0" w:firstRow="1" w:lastRow="1" w:firstColumn="1" w:lastColumn="1" w:noHBand="0" w:noVBand="0"/>
      </w:tblPr>
      <w:tblGrid>
        <w:gridCol w:w="9360"/>
      </w:tblGrid>
      <w:tr w:rsidR="00180FDD" w:rsidRPr="00180FDD" w:rsidTr="00E01844">
        <w:trPr>
          <w:trHeight w:val="557"/>
        </w:trPr>
        <w:tc>
          <w:tcPr>
            <w:tcW w:w="9360" w:type="dxa"/>
          </w:tcPr>
          <w:p w:rsidR="00547DA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lastRenderedPageBreak/>
              <w:t>六十、</w:t>
            </w:r>
            <w:r w:rsidR="00684355" w:rsidRPr="00180FDD">
              <w:rPr>
                <w:rFonts w:eastAsia="標楷體"/>
              </w:rPr>
              <w:t xml:space="preserve">　</w:t>
            </w:r>
            <w:r w:rsidR="00547DAF" w:rsidRPr="00180FDD">
              <w:rPr>
                <w:rFonts w:eastAsia="標楷體"/>
              </w:rPr>
              <w:t>簽證精算人員應檢附不停效保證投資型保險商品之送審時文件。</w:t>
            </w:r>
          </w:p>
          <w:p w:rsidR="00547DAF" w:rsidRPr="00180FDD" w:rsidRDefault="00547DAF" w:rsidP="00B35189">
            <w:pPr>
              <w:kinsoku w:val="0"/>
              <w:overflowPunct w:val="0"/>
              <w:spacing w:line="360" w:lineRule="auto"/>
              <w:ind w:leftChars="400" w:left="960"/>
              <w:jc w:val="both"/>
              <w:textAlignment w:val="center"/>
              <w:rPr>
                <w:rFonts w:eastAsia="標楷體"/>
              </w:rPr>
            </w:pPr>
            <w:r w:rsidRPr="00180FDD">
              <w:rPr>
                <w:rFonts w:eastAsia="標楷體"/>
              </w:rPr>
              <w:t>前項送審文件參照第五十八點之規定。</w:t>
            </w:r>
          </w:p>
        </w:tc>
      </w:tr>
      <w:tr w:rsidR="00180FDD" w:rsidRPr="00180FDD" w:rsidTr="00E01844">
        <w:trPr>
          <w:trHeight w:val="557"/>
        </w:trPr>
        <w:tc>
          <w:tcPr>
            <w:tcW w:w="9360" w:type="dxa"/>
          </w:tcPr>
          <w:p w:rsidR="0091031E"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六十一、</w:t>
            </w:r>
            <w:r w:rsidR="0091031E" w:rsidRPr="00180FDD">
              <w:rPr>
                <w:rFonts w:eastAsia="標楷體"/>
              </w:rPr>
              <w:t>簽證精算人員對於不停效保證投資型保險商品之準備金適足性測試，應依人身保險業經營投資型保險業務應提存之各種準備金規範辦理，並應載明各不停效保證投資型保險商品之準備金適足性測試結果</w:t>
            </w:r>
            <w:r w:rsidR="00B166B8" w:rsidRPr="00180FDD">
              <w:rPr>
                <w:rFonts w:eastAsia="標楷體" w:hint="eastAsia"/>
              </w:rPr>
              <w:t>(</w:t>
            </w:r>
            <w:r w:rsidR="0091031E" w:rsidRPr="00180FDD">
              <w:rPr>
                <w:rFonts w:eastAsia="標楷體"/>
              </w:rPr>
              <w:t>詳指定附表</w:t>
            </w:r>
            <w:r w:rsidR="0091031E" w:rsidRPr="00180FDD">
              <w:rPr>
                <w:rFonts w:eastAsia="標楷體"/>
              </w:rPr>
              <w:t>6</w:t>
            </w:r>
            <w:r w:rsidR="00B166B8" w:rsidRPr="00180FDD">
              <w:rPr>
                <w:rFonts w:eastAsia="標楷體"/>
              </w:rPr>
              <w:t>)</w:t>
            </w:r>
            <w:r w:rsidR="0091031E" w:rsidRPr="00180FDD">
              <w:rPr>
                <w:rFonts w:eastAsia="標楷體"/>
              </w:rPr>
              <w:t>及判斷標準，且適當表達精算意見。</w:t>
            </w:r>
          </w:p>
          <w:p w:rsidR="0091031E" w:rsidRPr="00180FDD" w:rsidRDefault="0091031E" w:rsidP="00B35189">
            <w:pPr>
              <w:kinsoku w:val="0"/>
              <w:overflowPunct w:val="0"/>
              <w:spacing w:line="360" w:lineRule="auto"/>
              <w:ind w:leftChars="400" w:left="960"/>
              <w:jc w:val="both"/>
              <w:textAlignment w:val="center"/>
              <w:rPr>
                <w:rFonts w:eastAsia="標楷體"/>
              </w:rPr>
            </w:pPr>
            <w:r w:rsidRPr="00180FDD">
              <w:rPr>
                <w:rFonts w:eastAsia="標楷體"/>
              </w:rPr>
              <w:t>前項所採之測試方法準用第五十九點之規定。簽證精算人員不依第五十九點規定辦理者，應說明所採用之測試方法及其理由。</w:t>
            </w:r>
          </w:p>
          <w:p w:rsidR="0091031E" w:rsidRPr="00180FDD" w:rsidRDefault="0091031E" w:rsidP="00B35189">
            <w:pPr>
              <w:kinsoku w:val="0"/>
              <w:overflowPunct w:val="0"/>
              <w:spacing w:line="360" w:lineRule="auto"/>
              <w:ind w:leftChars="400" w:left="960"/>
              <w:jc w:val="both"/>
              <w:textAlignment w:val="center"/>
              <w:rPr>
                <w:rFonts w:eastAsia="標楷體"/>
              </w:rPr>
            </w:pPr>
            <w:r w:rsidRPr="00180FDD">
              <w:rPr>
                <w:rFonts w:eastAsia="標楷體"/>
              </w:rPr>
              <w:t>簽證精算人員應說明測試方法中所採用之精算假設。</w:t>
            </w:r>
          </w:p>
        </w:tc>
      </w:tr>
    </w:tbl>
    <w:p w:rsidR="00547DAF" w:rsidRPr="00180FDD" w:rsidRDefault="0091031E" w:rsidP="00B35189">
      <w:pPr>
        <w:kinsoku w:val="0"/>
        <w:overflowPunct w:val="0"/>
        <w:spacing w:line="360" w:lineRule="auto"/>
        <w:jc w:val="both"/>
        <w:textAlignment w:val="center"/>
        <w:rPr>
          <w:rFonts w:eastAsia="標楷體"/>
          <w:b/>
        </w:rPr>
      </w:pPr>
      <w:r w:rsidRPr="00180FDD">
        <w:rPr>
          <w:rFonts w:eastAsia="標楷體"/>
        </w:rPr>
        <w:t>第六節、</w:t>
      </w:r>
      <w:r w:rsidRPr="00180FDD">
        <w:rPr>
          <w:rFonts w:eastAsia="標楷體"/>
          <w:kern w:val="0"/>
        </w:rPr>
        <w:t>附有加值給付之投資型保險商品</w:t>
      </w:r>
    </w:p>
    <w:tbl>
      <w:tblPr>
        <w:tblW w:w="9360" w:type="dxa"/>
        <w:tblInd w:w="108" w:type="dxa"/>
        <w:tblLook w:val="01E0" w:firstRow="1" w:lastRow="1" w:firstColumn="1" w:lastColumn="1" w:noHBand="0" w:noVBand="0"/>
      </w:tblPr>
      <w:tblGrid>
        <w:gridCol w:w="9360"/>
      </w:tblGrid>
      <w:tr w:rsidR="00180FDD" w:rsidRPr="00180FDD" w:rsidTr="00E01844">
        <w:trPr>
          <w:trHeight w:val="557"/>
        </w:trPr>
        <w:tc>
          <w:tcPr>
            <w:tcW w:w="9360" w:type="dxa"/>
          </w:tcPr>
          <w:p w:rsidR="0091031E"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六十二、</w:t>
            </w:r>
            <w:r w:rsidR="0091031E" w:rsidRPr="00180FDD">
              <w:rPr>
                <w:rFonts w:eastAsia="標楷體"/>
              </w:rPr>
              <w:t>簽證精算人員應檢附附有加值給付投資型保險商品送審之計算說明書。</w:t>
            </w:r>
          </w:p>
        </w:tc>
      </w:tr>
      <w:tr w:rsidR="00180FDD" w:rsidRPr="00180FDD" w:rsidTr="00E01844">
        <w:trPr>
          <w:trHeight w:val="557"/>
        </w:trPr>
        <w:tc>
          <w:tcPr>
            <w:tcW w:w="9360" w:type="dxa"/>
          </w:tcPr>
          <w:p w:rsidR="0091031E"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六十三、</w:t>
            </w:r>
            <w:r w:rsidR="0091031E" w:rsidRPr="00180FDD">
              <w:rPr>
                <w:rFonts w:eastAsia="標楷體"/>
              </w:rPr>
              <w:t>簽證精算人員應說明所採用之測試方法及其理由，並應載明各加值給付投資型保險商品之準備金適足性測試結果</w:t>
            </w:r>
            <w:r w:rsidR="00B166B8" w:rsidRPr="00180FDD">
              <w:rPr>
                <w:rFonts w:eastAsia="標楷體" w:hint="eastAsia"/>
              </w:rPr>
              <w:t>(</w:t>
            </w:r>
            <w:r w:rsidR="0091031E" w:rsidRPr="00180FDD">
              <w:rPr>
                <w:rFonts w:eastAsia="標楷體"/>
              </w:rPr>
              <w:t>詳指定附表</w:t>
            </w:r>
            <w:r w:rsidR="00676BC3" w:rsidRPr="00180FDD">
              <w:rPr>
                <w:rFonts w:eastAsia="標楷體"/>
              </w:rPr>
              <w:t>6</w:t>
            </w:r>
            <w:r w:rsidR="00B166B8" w:rsidRPr="00180FDD">
              <w:rPr>
                <w:rFonts w:eastAsia="標楷體"/>
              </w:rPr>
              <w:t>)</w:t>
            </w:r>
            <w:r w:rsidR="0091031E" w:rsidRPr="00180FDD">
              <w:rPr>
                <w:rFonts w:eastAsia="標楷體"/>
              </w:rPr>
              <w:t>及判斷標準，且適當表達精算意見。</w:t>
            </w:r>
          </w:p>
          <w:p w:rsidR="0091031E" w:rsidRPr="00180FDD" w:rsidRDefault="0091031E" w:rsidP="00B35189">
            <w:pPr>
              <w:kinsoku w:val="0"/>
              <w:overflowPunct w:val="0"/>
              <w:spacing w:line="360" w:lineRule="auto"/>
              <w:ind w:leftChars="400" w:left="960"/>
              <w:jc w:val="both"/>
              <w:textAlignment w:val="center"/>
              <w:rPr>
                <w:rFonts w:eastAsia="標楷體"/>
              </w:rPr>
            </w:pPr>
            <w:r w:rsidRPr="00180FDD">
              <w:rPr>
                <w:rFonts w:eastAsia="標楷體"/>
              </w:rPr>
              <w:t>若前項商品與投資連結標的之價值有關，準用第五十九點之規定。</w:t>
            </w:r>
          </w:p>
          <w:p w:rsidR="0091031E" w:rsidRPr="00180FDD" w:rsidRDefault="0091031E" w:rsidP="00B35189">
            <w:pPr>
              <w:kinsoku w:val="0"/>
              <w:overflowPunct w:val="0"/>
              <w:spacing w:line="360" w:lineRule="auto"/>
              <w:ind w:leftChars="400" w:left="960"/>
              <w:jc w:val="both"/>
              <w:textAlignment w:val="center"/>
              <w:rPr>
                <w:rFonts w:eastAsia="標楷體"/>
              </w:rPr>
            </w:pPr>
            <w:r w:rsidRPr="00180FDD">
              <w:rPr>
                <w:rFonts w:eastAsia="標楷體"/>
              </w:rPr>
              <w:t>簽證精算人員不依前項規定辦理者，應說明所採用之測試方法及其理由。</w:t>
            </w:r>
          </w:p>
          <w:p w:rsidR="0091031E" w:rsidRPr="00180FDD" w:rsidRDefault="0091031E" w:rsidP="00B35189">
            <w:pPr>
              <w:kinsoku w:val="0"/>
              <w:overflowPunct w:val="0"/>
              <w:spacing w:line="360" w:lineRule="auto"/>
              <w:ind w:leftChars="400" w:left="960"/>
              <w:jc w:val="both"/>
              <w:textAlignment w:val="center"/>
              <w:rPr>
                <w:rFonts w:eastAsia="標楷體"/>
              </w:rPr>
            </w:pPr>
            <w:r w:rsidRPr="00180FDD">
              <w:rPr>
                <w:rFonts w:eastAsia="標楷體"/>
              </w:rPr>
              <w:t>簽證精算人員應說明測試方法中所採用之精算假設。</w:t>
            </w:r>
          </w:p>
        </w:tc>
      </w:tr>
    </w:tbl>
    <w:p w:rsidR="0091031E" w:rsidRPr="00180FDD" w:rsidRDefault="0091031E" w:rsidP="00B35189">
      <w:pPr>
        <w:kinsoku w:val="0"/>
        <w:overflowPunct w:val="0"/>
        <w:spacing w:line="360" w:lineRule="auto"/>
        <w:jc w:val="both"/>
        <w:textAlignment w:val="center"/>
        <w:rPr>
          <w:rFonts w:eastAsia="標楷體"/>
          <w:b/>
        </w:rPr>
      </w:pPr>
      <w:r w:rsidRPr="00180FDD">
        <w:rPr>
          <w:rFonts w:eastAsia="標楷體"/>
        </w:rPr>
        <w:t>第七節、傳統型</w:t>
      </w:r>
      <w:r w:rsidRPr="00180FDD">
        <w:rPr>
          <w:rFonts w:eastAsia="標楷體"/>
          <w:kern w:val="0"/>
        </w:rPr>
        <w:t>外幣保險商品</w:t>
      </w:r>
    </w:p>
    <w:tbl>
      <w:tblPr>
        <w:tblW w:w="9360" w:type="dxa"/>
        <w:tblInd w:w="108" w:type="dxa"/>
        <w:tblLook w:val="01E0" w:firstRow="1" w:lastRow="1" w:firstColumn="1" w:lastColumn="1" w:noHBand="0" w:noVBand="0"/>
      </w:tblPr>
      <w:tblGrid>
        <w:gridCol w:w="9360"/>
      </w:tblGrid>
      <w:tr w:rsidR="00180FDD" w:rsidRPr="00180FDD" w:rsidTr="00E01844">
        <w:trPr>
          <w:trHeight w:val="274"/>
        </w:trPr>
        <w:tc>
          <w:tcPr>
            <w:tcW w:w="9360" w:type="dxa"/>
          </w:tcPr>
          <w:p w:rsidR="0091031E" w:rsidRPr="00180FDD" w:rsidRDefault="0091031E" w:rsidP="00B35189">
            <w:pPr>
              <w:kinsoku w:val="0"/>
              <w:overflowPunct w:val="0"/>
              <w:spacing w:line="360" w:lineRule="auto"/>
              <w:ind w:left="1440" w:hangingChars="600" w:hanging="1440"/>
              <w:jc w:val="both"/>
              <w:textAlignment w:val="center"/>
              <w:rPr>
                <w:rFonts w:eastAsia="標楷體"/>
              </w:rPr>
            </w:pPr>
            <w:r w:rsidRPr="00180FDD">
              <w:rPr>
                <w:rFonts w:eastAsia="標楷體"/>
              </w:rPr>
              <w:t>六十三之一</w:t>
            </w:r>
            <w:r w:rsidR="00052E54" w:rsidRPr="00180FDD">
              <w:rPr>
                <w:rFonts w:eastAsia="標楷體"/>
              </w:rPr>
              <w:t>、</w:t>
            </w:r>
            <w:r w:rsidRPr="00180FDD">
              <w:rPr>
                <w:rFonts w:eastAsia="標楷體"/>
              </w:rPr>
              <w:t>簽證精算人員應提供傳統型外幣保險商品準備金適足性測試結果</w:t>
            </w:r>
            <w:r w:rsidR="00B166B8" w:rsidRPr="00180FDD">
              <w:rPr>
                <w:rFonts w:eastAsia="標楷體" w:hint="eastAsia"/>
              </w:rPr>
              <w:t>(</w:t>
            </w:r>
            <w:r w:rsidRPr="00180FDD">
              <w:rPr>
                <w:rFonts w:eastAsia="標楷體"/>
              </w:rPr>
              <w:t>詳指定附表</w:t>
            </w:r>
            <w:r w:rsidRPr="00180FDD">
              <w:rPr>
                <w:rFonts w:eastAsia="標楷體"/>
              </w:rPr>
              <w:t>5</w:t>
            </w:r>
            <w:r w:rsidRPr="00180FDD">
              <w:rPr>
                <w:rFonts w:eastAsia="標楷體"/>
              </w:rPr>
              <w:t>及指定附表</w:t>
            </w:r>
            <w:r w:rsidR="001B671F" w:rsidRPr="00180FDD">
              <w:rPr>
                <w:rFonts w:eastAsia="標楷體"/>
              </w:rPr>
              <w:t>6</w:t>
            </w:r>
            <w:r w:rsidR="00B166B8" w:rsidRPr="00180FDD">
              <w:rPr>
                <w:rFonts w:eastAsia="標楷體"/>
              </w:rPr>
              <w:t>)</w:t>
            </w:r>
            <w:r w:rsidRPr="00180FDD">
              <w:rPr>
                <w:rFonts w:eastAsia="標楷體"/>
              </w:rPr>
              <w:t>，如整體責任準備金或新契約保費收入占率顯著，則應單獨載明不低於</w:t>
            </w:r>
            <w:r w:rsidRPr="00180FDD">
              <w:rPr>
                <w:rFonts w:eastAsia="標楷體"/>
              </w:rPr>
              <w:t>CTE65</w:t>
            </w:r>
            <w:r w:rsidRPr="00180FDD">
              <w:rPr>
                <w:rFonts w:eastAsia="標楷體"/>
              </w:rPr>
              <w:t>之準備金適足性判斷標準，</w:t>
            </w:r>
            <w:r w:rsidR="00E352F0" w:rsidRPr="00180FDD">
              <w:rPr>
                <w:rFonts w:eastAsia="標楷體"/>
              </w:rPr>
              <w:t>且</w:t>
            </w:r>
            <w:r w:rsidR="00E6285B" w:rsidRPr="00180FDD">
              <w:rPr>
                <w:rFonts w:eastAsia="標楷體"/>
              </w:rPr>
              <w:t>就</w:t>
            </w:r>
            <w:r w:rsidR="00E6285B" w:rsidRPr="00180FDD">
              <w:rPr>
                <w:rFonts w:eastAsia="標楷體"/>
              </w:rPr>
              <w:t>1</w:t>
            </w:r>
            <w:r w:rsidR="00BD5392" w:rsidRPr="00180FDD">
              <w:rPr>
                <w:rFonts w:eastAsia="標楷體"/>
              </w:rPr>
              <w:t>,</w:t>
            </w:r>
            <w:r w:rsidR="00E6285B" w:rsidRPr="00180FDD">
              <w:rPr>
                <w:rFonts w:eastAsia="標楷體"/>
              </w:rPr>
              <w:t>000</w:t>
            </w:r>
            <w:r w:rsidR="00E6285B" w:rsidRPr="00180FDD">
              <w:rPr>
                <w:rFonts w:eastAsia="標楷體"/>
              </w:rPr>
              <w:t>組情境、主管機關指定情境、</w:t>
            </w:r>
            <w:r w:rsidR="00E6285B" w:rsidRPr="00180FDD">
              <w:rPr>
                <w:rFonts w:eastAsia="標楷體"/>
              </w:rPr>
              <w:t>NY7</w:t>
            </w:r>
            <w:r w:rsidR="00E6285B" w:rsidRPr="00180FDD">
              <w:rPr>
                <w:rFonts w:eastAsia="標楷體"/>
              </w:rPr>
              <w:t>情境、最佳估計情境及極端情境之測試結果及其合理性深入分析並適當表達精算意見</w:t>
            </w:r>
            <w:r w:rsidRPr="00180FDD">
              <w:rPr>
                <w:rFonts w:eastAsia="標楷體"/>
              </w:rPr>
              <w:t>，若有不適足者，應提供公司達該準備金適足性標準所應增加之準備金金額。</w:t>
            </w:r>
          </w:p>
          <w:p w:rsidR="0097693F" w:rsidRPr="00180FDD" w:rsidRDefault="0097693F" w:rsidP="00B35189">
            <w:pPr>
              <w:kinsoku w:val="0"/>
              <w:overflowPunct w:val="0"/>
              <w:spacing w:line="360" w:lineRule="auto"/>
              <w:ind w:leftChars="600" w:left="1440"/>
              <w:jc w:val="both"/>
              <w:textAlignment w:val="center"/>
              <w:rPr>
                <w:rFonts w:eastAsia="標楷體"/>
              </w:rPr>
            </w:pPr>
            <w:r w:rsidRPr="00180FDD">
              <w:rPr>
                <w:rFonts w:eastAsia="標楷體"/>
              </w:rPr>
              <w:t>傳統型外幣保險商品準備金</w:t>
            </w:r>
            <w:r w:rsidR="00D50BE9" w:rsidRPr="00180FDD">
              <w:rPr>
                <w:rFonts w:eastAsia="標楷體" w:hint="eastAsia"/>
              </w:rPr>
              <w:t>占</w:t>
            </w:r>
            <w:r w:rsidRPr="00180FDD">
              <w:rPr>
                <w:rFonts w:eastAsia="標楷體"/>
              </w:rPr>
              <w:t>率不顯著之區隔帳戶可考量併入未區隔資產</w:t>
            </w:r>
            <w:r w:rsidRPr="00180FDD">
              <w:rPr>
                <w:rFonts w:eastAsia="標楷體"/>
              </w:rPr>
              <w:lastRenderedPageBreak/>
              <w:t>執行準備金適足性測試。</w:t>
            </w:r>
          </w:p>
        </w:tc>
      </w:tr>
    </w:tbl>
    <w:p w:rsidR="00C50220" w:rsidRPr="00180FDD" w:rsidRDefault="00C50220" w:rsidP="00B35189">
      <w:pPr>
        <w:kinsoku w:val="0"/>
        <w:overflowPunct w:val="0"/>
        <w:spacing w:line="360" w:lineRule="auto"/>
        <w:jc w:val="both"/>
        <w:textAlignment w:val="center"/>
        <w:rPr>
          <w:rFonts w:eastAsia="標楷體"/>
          <w:b/>
        </w:rPr>
      </w:pPr>
      <w:r w:rsidRPr="00180FDD">
        <w:rPr>
          <w:rFonts w:eastAsia="標楷體"/>
        </w:rPr>
        <w:lastRenderedPageBreak/>
        <w:t>第八節、長年期健康</w:t>
      </w:r>
      <w:r w:rsidRPr="00180FDD">
        <w:rPr>
          <w:rFonts w:eastAsia="標楷體"/>
          <w:kern w:val="0"/>
        </w:rPr>
        <w:t>保險商品</w:t>
      </w:r>
    </w:p>
    <w:tbl>
      <w:tblPr>
        <w:tblW w:w="9360" w:type="dxa"/>
        <w:tblInd w:w="108" w:type="dxa"/>
        <w:tblLook w:val="01E0" w:firstRow="1" w:lastRow="1" w:firstColumn="1" w:lastColumn="1" w:noHBand="0" w:noVBand="0"/>
      </w:tblPr>
      <w:tblGrid>
        <w:gridCol w:w="9360"/>
      </w:tblGrid>
      <w:tr w:rsidR="00180FDD" w:rsidRPr="00180FDD" w:rsidTr="00A94534">
        <w:trPr>
          <w:trHeight w:val="274"/>
        </w:trPr>
        <w:tc>
          <w:tcPr>
            <w:tcW w:w="9360" w:type="dxa"/>
          </w:tcPr>
          <w:p w:rsidR="008845ED" w:rsidRPr="00180FDD" w:rsidRDefault="00C50220" w:rsidP="00B35189">
            <w:pPr>
              <w:kinsoku w:val="0"/>
              <w:overflowPunct w:val="0"/>
              <w:spacing w:line="360" w:lineRule="auto"/>
              <w:ind w:left="1440" w:hangingChars="600" w:hanging="1440"/>
              <w:jc w:val="both"/>
              <w:textAlignment w:val="center"/>
              <w:rPr>
                <w:rFonts w:eastAsia="標楷體"/>
              </w:rPr>
            </w:pPr>
            <w:r w:rsidRPr="00180FDD">
              <w:rPr>
                <w:rFonts w:eastAsia="標楷體"/>
              </w:rPr>
              <w:t>六十三之</w:t>
            </w:r>
            <w:r w:rsidR="0068106D" w:rsidRPr="00180FDD">
              <w:rPr>
                <w:rFonts w:eastAsia="標楷體"/>
              </w:rPr>
              <w:t>二</w:t>
            </w:r>
            <w:r w:rsidRPr="00180FDD">
              <w:rPr>
                <w:rFonts w:eastAsia="標楷體"/>
              </w:rPr>
              <w:t>、</w:t>
            </w:r>
            <w:r w:rsidR="00FF4330" w:rsidRPr="00180FDD">
              <w:rPr>
                <w:rFonts w:eastAsia="標楷體"/>
              </w:rPr>
              <w:t>簽證精算人員應單獨針對長年期健康保險之準備金適足性適當表達精算意見，至少應包含下列各款：</w:t>
            </w:r>
          </w:p>
          <w:p w:rsidR="00C50220" w:rsidRPr="00180FDD" w:rsidRDefault="00B166B8" w:rsidP="00B166B8">
            <w:pPr>
              <w:tabs>
                <w:tab w:val="left" w:pos="732"/>
              </w:tabs>
              <w:kinsoku w:val="0"/>
              <w:overflowPunct w:val="0"/>
              <w:spacing w:line="360" w:lineRule="auto"/>
              <w:ind w:leftChars="599" w:left="1875" w:hangingChars="182" w:hanging="437"/>
              <w:jc w:val="both"/>
              <w:textAlignment w:val="center"/>
              <w:rPr>
                <w:rFonts w:eastAsia="標楷體"/>
              </w:rPr>
            </w:pPr>
            <w:r w:rsidRPr="00180FDD">
              <w:rPr>
                <w:rFonts w:eastAsia="標楷體" w:hint="eastAsia"/>
              </w:rPr>
              <w:t>(</w:t>
            </w:r>
            <w:r w:rsidR="008845ED" w:rsidRPr="00180FDD">
              <w:rPr>
                <w:rFonts w:eastAsia="標楷體"/>
              </w:rPr>
              <w:t>一</w:t>
            </w:r>
            <w:r w:rsidRPr="00180FDD">
              <w:rPr>
                <w:rFonts w:eastAsia="標楷體" w:hint="eastAsia"/>
              </w:rPr>
              <w:t>)</w:t>
            </w:r>
            <w:r w:rsidR="00FC0AAF" w:rsidRPr="00180FDD">
              <w:rPr>
                <w:rFonts w:eastAsia="標楷體"/>
                <w:kern w:val="0"/>
              </w:rPr>
              <w:t>分析說明銷售中</w:t>
            </w:r>
            <w:r w:rsidR="00FC0AAF" w:rsidRPr="00180FDD">
              <w:rPr>
                <w:rFonts w:eastAsia="標楷體"/>
                <w:bCs/>
                <w:kern w:val="0"/>
              </w:rPr>
              <w:t>長年期健康險保險</w:t>
            </w:r>
            <w:r w:rsidR="00FC0AAF" w:rsidRPr="00180FDD">
              <w:rPr>
                <w:rFonts w:eastAsia="標楷體"/>
                <w:kern w:val="0"/>
              </w:rPr>
              <w:t>商品之</w:t>
            </w:r>
            <w:r w:rsidR="00FC0AAF" w:rsidRPr="00180FDD">
              <w:rPr>
                <w:rFonts w:eastAsia="標楷體"/>
                <w:bCs/>
                <w:kern w:val="0"/>
              </w:rPr>
              <w:t>損失率，</w:t>
            </w:r>
            <w:r w:rsidR="00FF4330" w:rsidRPr="00180FDD">
              <w:rPr>
                <w:rFonts w:eastAsia="標楷體"/>
              </w:rPr>
              <w:t>針對損失率明顯惡化但公司仍在不調整費率下繼續銷售之個別商品，若有準備金不適足者，應提供簽署公司達準備金適足性標準所需立即增提之準備金金額。</w:t>
            </w:r>
          </w:p>
          <w:p w:rsidR="00377D37" w:rsidRPr="00180FDD" w:rsidRDefault="00B166B8" w:rsidP="00B166B8">
            <w:pPr>
              <w:tabs>
                <w:tab w:val="left" w:pos="732"/>
              </w:tabs>
              <w:kinsoku w:val="0"/>
              <w:overflowPunct w:val="0"/>
              <w:spacing w:line="360" w:lineRule="auto"/>
              <w:ind w:leftChars="599" w:left="1875" w:hangingChars="182" w:hanging="437"/>
              <w:jc w:val="both"/>
              <w:textAlignment w:val="center"/>
              <w:rPr>
                <w:rFonts w:eastAsia="標楷體"/>
              </w:rPr>
            </w:pPr>
            <w:r w:rsidRPr="00180FDD">
              <w:rPr>
                <w:rFonts w:eastAsia="標楷體" w:hint="eastAsia"/>
              </w:rPr>
              <w:t>(</w:t>
            </w:r>
            <w:r w:rsidR="008845ED" w:rsidRPr="00180FDD">
              <w:rPr>
                <w:rFonts w:eastAsia="標楷體"/>
              </w:rPr>
              <w:t>二</w:t>
            </w:r>
            <w:r w:rsidRPr="00180FDD">
              <w:rPr>
                <w:rFonts w:eastAsia="標楷體" w:hint="eastAsia"/>
              </w:rPr>
              <w:t>)</w:t>
            </w:r>
            <w:r w:rsidR="00FF4330" w:rsidRPr="00180FDD">
              <w:rPr>
                <w:rFonts w:eastAsia="標楷體"/>
                <w:kern w:val="0"/>
              </w:rPr>
              <w:t>針對</w:t>
            </w:r>
            <w:r w:rsidR="00FF4330" w:rsidRPr="00180FDD">
              <w:rPr>
                <w:rFonts w:eastAsia="標楷體"/>
              </w:rPr>
              <w:t>損失率明顯惡化之長年期健康保險商品，應提具準備金監控機制，</w:t>
            </w:r>
            <w:r w:rsidR="00FC0AAF" w:rsidRPr="00180FDD">
              <w:rPr>
                <w:rFonts w:eastAsia="標楷體"/>
              </w:rPr>
              <w:t>該</w:t>
            </w:r>
            <w:r w:rsidR="00FC0AAF" w:rsidRPr="00180FDD">
              <w:rPr>
                <w:rFonts w:eastAsia="標楷體"/>
                <w:kern w:val="0"/>
              </w:rPr>
              <w:t>監控機制應考量商品風險特性之異同後訂定，</w:t>
            </w:r>
            <w:r w:rsidR="00FF4330" w:rsidRPr="00180FDD">
              <w:rPr>
                <w:rFonts w:eastAsia="標楷體"/>
              </w:rPr>
              <w:t>若準備金測試結果超過監控標準時，應提供簽署公司達準備金適足性標準所需立即增提之準備金金額。</w:t>
            </w:r>
          </w:p>
          <w:p w:rsidR="0097693F" w:rsidRPr="00180FDD" w:rsidRDefault="0097693F" w:rsidP="00B35189">
            <w:pPr>
              <w:tabs>
                <w:tab w:val="left" w:pos="732"/>
              </w:tabs>
              <w:kinsoku w:val="0"/>
              <w:overflowPunct w:val="0"/>
              <w:spacing w:line="360" w:lineRule="auto"/>
              <w:ind w:leftChars="600" w:left="1440"/>
              <w:jc w:val="both"/>
              <w:textAlignment w:val="center"/>
              <w:rPr>
                <w:rFonts w:eastAsia="標楷體"/>
              </w:rPr>
            </w:pPr>
            <w:r w:rsidRPr="00180FDD">
              <w:rPr>
                <w:rFonts w:eastAsia="標楷體"/>
              </w:rPr>
              <w:t>前項所稱損失率明顯惡化係指損失率持續超過百分之百或依其惡化趨勢預估損失率可能超過百分之百。</w:t>
            </w:r>
          </w:p>
        </w:tc>
      </w:tr>
    </w:tbl>
    <w:p w:rsidR="0091031E" w:rsidRPr="00180FDD" w:rsidRDefault="0091031E" w:rsidP="00B35189">
      <w:pPr>
        <w:kinsoku w:val="0"/>
        <w:overflowPunct w:val="0"/>
        <w:spacing w:line="360" w:lineRule="auto"/>
        <w:jc w:val="both"/>
        <w:textAlignment w:val="center"/>
        <w:rPr>
          <w:rFonts w:eastAsia="標楷體"/>
          <w:b/>
        </w:rPr>
      </w:pPr>
      <w:r w:rsidRPr="00180FDD">
        <w:rPr>
          <w:rFonts w:eastAsia="標楷體"/>
        </w:rPr>
        <w:t>第十章、其他</w:t>
      </w:r>
    </w:p>
    <w:tbl>
      <w:tblPr>
        <w:tblW w:w="9360" w:type="dxa"/>
        <w:tblInd w:w="108" w:type="dxa"/>
        <w:tblLook w:val="01E0" w:firstRow="1" w:lastRow="1" w:firstColumn="1" w:lastColumn="1" w:noHBand="0" w:noVBand="0"/>
      </w:tblPr>
      <w:tblGrid>
        <w:gridCol w:w="9360"/>
      </w:tblGrid>
      <w:tr w:rsidR="00180FDD" w:rsidRPr="00180FDD" w:rsidTr="00E01844">
        <w:trPr>
          <w:trHeight w:val="1244"/>
        </w:trPr>
        <w:tc>
          <w:tcPr>
            <w:tcW w:w="9360" w:type="dxa"/>
          </w:tcPr>
          <w:p w:rsidR="0091031E" w:rsidRPr="00180FDD" w:rsidRDefault="0097693F" w:rsidP="00B166B8">
            <w:pPr>
              <w:kinsoku w:val="0"/>
              <w:overflowPunct w:val="0"/>
              <w:spacing w:line="360" w:lineRule="auto"/>
              <w:ind w:left="960" w:hangingChars="400" w:hanging="960"/>
              <w:jc w:val="both"/>
              <w:textAlignment w:val="center"/>
              <w:rPr>
                <w:rFonts w:eastAsia="標楷體"/>
              </w:rPr>
            </w:pPr>
            <w:r w:rsidRPr="00180FDD">
              <w:rPr>
                <w:rFonts w:eastAsia="標楷體"/>
              </w:rPr>
              <w:t>六十四、</w:t>
            </w:r>
            <w:r w:rsidR="0091031E" w:rsidRPr="00180FDD">
              <w:rPr>
                <w:rFonts w:eastAsia="標楷體"/>
              </w:rPr>
              <w:t>簽證精算人員應提供公司整體一般帳戶</w:t>
            </w:r>
            <w:r w:rsidR="00B166B8" w:rsidRPr="00180FDD">
              <w:rPr>
                <w:rFonts w:eastAsia="標楷體" w:hint="eastAsia"/>
              </w:rPr>
              <w:t>(</w:t>
            </w:r>
            <w:r w:rsidR="0091031E" w:rsidRPr="00180FDD">
              <w:rPr>
                <w:rFonts w:eastAsia="標楷體"/>
              </w:rPr>
              <w:t>不含投資型保險商品</w:t>
            </w:r>
            <w:r w:rsidR="00B166B8" w:rsidRPr="00180FDD">
              <w:rPr>
                <w:rFonts w:eastAsia="標楷體" w:hint="eastAsia"/>
              </w:rPr>
              <w:t>)</w:t>
            </w:r>
            <w:r w:rsidR="0091031E" w:rsidRPr="00180FDD">
              <w:rPr>
                <w:rFonts w:eastAsia="標楷體"/>
              </w:rPr>
              <w:t>之負債存續期間。如含保費收入與不含保費收入之麥氏存續期間</w:t>
            </w:r>
            <w:r w:rsidR="00B166B8" w:rsidRPr="00180FDD">
              <w:rPr>
                <w:rFonts w:eastAsia="標楷體" w:hint="eastAsia"/>
              </w:rPr>
              <w:t>(</w:t>
            </w:r>
            <w:r w:rsidR="0091031E" w:rsidRPr="00180FDD">
              <w:rPr>
                <w:rFonts w:eastAsia="標楷體"/>
              </w:rPr>
              <w:t>Macaulay Duration</w:t>
            </w:r>
            <w:r w:rsidR="00B166B8" w:rsidRPr="00180FDD">
              <w:rPr>
                <w:rFonts w:eastAsia="標楷體"/>
              </w:rPr>
              <w:t>)</w:t>
            </w:r>
            <w:r w:rsidR="0091031E" w:rsidRPr="00180FDD">
              <w:rPr>
                <w:rFonts w:eastAsia="標楷體"/>
              </w:rPr>
              <w:t>兩者較長者超過</w:t>
            </w:r>
            <w:r w:rsidR="0091031E" w:rsidRPr="00180FDD">
              <w:rPr>
                <w:rFonts w:eastAsia="標楷體"/>
              </w:rPr>
              <w:t>40</w:t>
            </w:r>
            <w:r w:rsidR="0091031E" w:rsidRPr="00180FDD">
              <w:rPr>
                <w:rFonts w:eastAsia="標楷體"/>
              </w:rPr>
              <w:t>年，則應提供至少</w:t>
            </w:r>
            <w:r w:rsidR="0091031E" w:rsidRPr="00180FDD">
              <w:rPr>
                <w:rFonts w:eastAsia="標楷體"/>
              </w:rPr>
              <w:t>40</w:t>
            </w:r>
            <w:r w:rsidR="0091031E" w:rsidRPr="00180FDD">
              <w:rPr>
                <w:rFonts w:eastAsia="標楷體"/>
              </w:rPr>
              <w:t>年之測試結果。</w:t>
            </w:r>
          </w:p>
        </w:tc>
      </w:tr>
      <w:tr w:rsidR="00180FDD" w:rsidRPr="00180FDD" w:rsidTr="00E01844">
        <w:trPr>
          <w:trHeight w:val="868"/>
        </w:trPr>
        <w:tc>
          <w:tcPr>
            <w:tcW w:w="9360" w:type="dxa"/>
          </w:tcPr>
          <w:p w:rsidR="0091031E" w:rsidRPr="00180FDD" w:rsidRDefault="0097693F" w:rsidP="00B166B8">
            <w:pPr>
              <w:kinsoku w:val="0"/>
              <w:overflowPunct w:val="0"/>
              <w:spacing w:line="360" w:lineRule="auto"/>
              <w:ind w:left="960" w:hangingChars="400" w:hanging="960"/>
              <w:jc w:val="both"/>
              <w:textAlignment w:val="center"/>
              <w:rPr>
                <w:rFonts w:eastAsia="標楷體"/>
              </w:rPr>
            </w:pPr>
            <w:r w:rsidRPr="00180FDD">
              <w:rPr>
                <w:rFonts w:eastAsia="標楷體"/>
              </w:rPr>
              <w:t>六十五、</w:t>
            </w:r>
            <w:r w:rsidR="0091031E" w:rsidRPr="00180FDD">
              <w:rPr>
                <w:rFonts w:eastAsia="標楷體"/>
              </w:rPr>
              <w:t>簽證精算人員應提供上年度建議事項之當年度執行情形及結果，並應提供當年度建議事項</w:t>
            </w:r>
            <w:r w:rsidR="00B166B8" w:rsidRPr="00180FDD">
              <w:rPr>
                <w:rFonts w:eastAsia="標楷體" w:hint="eastAsia"/>
              </w:rPr>
              <w:t>(</w:t>
            </w:r>
            <w:r w:rsidR="0091031E" w:rsidRPr="00180FDD">
              <w:rPr>
                <w:rFonts w:eastAsia="標楷體"/>
              </w:rPr>
              <w:t>詳指定附表</w:t>
            </w:r>
            <w:r w:rsidR="0091031E" w:rsidRPr="00180FDD">
              <w:rPr>
                <w:rFonts w:eastAsia="標楷體"/>
              </w:rPr>
              <w:t>13</w:t>
            </w:r>
            <w:r w:rsidR="00B166B8" w:rsidRPr="00180FDD">
              <w:rPr>
                <w:rFonts w:eastAsia="標楷體"/>
              </w:rPr>
              <w:t>)</w:t>
            </w:r>
            <w:r w:rsidR="0091031E" w:rsidRPr="00180FDD">
              <w:rPr>
                <w:rFonts w:eastAsia="標楷體"/>
              </w:rPr>
              <w:t>。</w:t>
            </w:r>
          </w:p>
        </w:tc>
      </w:tr>
      <w:tr w:rsidR="00180FDD" w:rsidRPr="00180FDD" w:rsidTr="00E01844">
        <w:trPr>
          <w:trHeight w:val="686"/>
        </w:trPr>
        <w:tc>
          <w:tcPr>
            <w:tcW w:w="9360" w:type="dxa"/>
          </w:tcPr>
          <w:p w:rsidR="0091031E" w:rsidRPr="00180FDD" w:rsidRDefault="0097693F" w:rsidP="00B166B8">
            <w:pPr>
              <w:kinsoku w:val="0"/>
              <w:overflowPunct w:val="0"/>
              <w:spacing w:line="360" w:lineRule="auto"/>
              <w:ind w:left="960" w:hangingChars="400" w:hanging="960"/>
              <w:jc w:val="both"/>
              <w:textAlignment w:val="center"/>
              <w:rPr>
                <w:rFonts w:eastAsia="標楷體"/>
              </w:rPr>
            </w:pPr>
            <w:r w:rsidRPr="00180FDD">
              <w:rPr>
                <w:rFonts w:eastAsia="標楷體"/>
              </w:rPr>
              <w:t>六十六、</w:t>
            </w:r>
            <w:r w:rsidR="0091031E" w:rsidRPr="00180FDD">
              <w:rPr>
                <w:rFonts w:eastAsia="標楷體"/>
              </w:rPr>
              <w:t>簽證精算人員應提供本說明之自我檢查表</w:t>
            </w:r>
            <w:r w:rsidR="00B166B8" w:rsidRPr="00180FDD">
              <w:rPr>
                <w:rFonts w:eastAsia="標楷體" w:hint="eastAsia"/>
              </w:rPr>
              <w:t>(</w:t>
            </w:r>
            <w:r w:rsidR="0091031E" w:rsidRPr="00180FDD">
              <w:rPr>
                <w:rFonts w:eastAsia="標楷體"/>
              </w:rPr>
              <w:t>詳指定附表</w:t>
            </w:r>
            <w:r w:rsidR="002E34C7" w:rsidRPr="00180FDD">
              <w:rPr>
                <w:rFonts w:eastAsia="標楷體"/>
              </w:rPr>
              <w:t>16</w:t>
            </w:r>
            <w:r w:rsidR="00B166B8" w:rsidRPr="00180FDD">
              <w:rPr>
                <w:rFonts w:eastAsia="標楷體"/>
              </w:rPr>
              <w:t>)</w:t>
            </w:r>
            <w:r w:rsidR="0091031E" w:rsidRPr="00180FDD">
              <w:rPr>
                <w:rFonts w:eastAsia="標楷體"/>
              </w:rPr>
              <w:t>。</w:t>
            </w:r>
          </w:p>
        </w:tc>
      </w:tr>
      <w:tr w:rsidR="00180FDD" w:rsidRPr="00180FDD" w:rsidTr="00E01844">
        <w:trPr>
          <w:trHeight w:val="686"/>
        </w:trPr>
        <w:tc>
          <w:tcPr>
            <w:tcW w:w="9360" w:type="dxa"/>
          </w:tcPr>
          <w:p w:rsidR="0091031E"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六十七、</w:t>
            </w:r>
            <w:r w:rsidR="0091031E" w:rsidRPr="00180FDD">
              <w:rPr>
                <w:rFonts w:eastAsia="標楷體"/>
              </w:rPr>
              <w:t>簽證精算人員應檢附精算意見書、精算備忘錄及主管機關規定格式之指定附表</w:t>
            </w:r>
            <w:r w:rsidRPr="00180FDD">
              <w:rPr>
                <w:rFonts w:eastAsia="標楷體"/>
              </w:rPr>
              <w:t>各一</w:t>
            </w:r>
            <w:r w:rsidR="0091031E" w:rsidRPr="00180FDD">
              <w:rPr>
                <w:rFonts w:eastAsia="標楷體"/>
              </w:rPr>
              <w:t>份暨光碟片乙份</w:t>
            </w:r>
            <w:r w:rsidR="00B166B8" w:rsidRPr="00180FDD">
              <w:rPr>
                <w:rFonts w:eastAsia="標楷體" w:hint="eastAsia"/>
              </w:rPr>
              <w:t>(</w:t>
            </w:r>
            <w:r w:rsidRPr="00180FDD">
              <w:rPr>
                <w:rFonts w:eastAsia="標楷體"/>
              </w:rPr>
              <w:t>意見書及</w:t>
            </w:r>
            <w:r w:rsidR="0091031E" w:rsidRPr="00180FDD">
              <w:rPr>
                <w:rFonts w:eastAsia="標楷體"/>
              </w:rPr>
              <w:t>指定附表僅需提供電子檔案</w:t>
            </w:r>
            <w:r w:rsidR="00B166B8" w:rsidRPr="00180FDD">
              <w:rPr>
                <w:rFonts w:eastAsia="標楷體" w:hint="eastAsia"/>
              </w:rPr>
              <w:t>)</w:t>
            </w:r>
            <w:r w:rsidR="0091031E" w:rsidRPr="00180FDD">
              <w:rPr>
                <w:rFonts w:eastAsia="標楷體"/>
              </w:rPr>
              <w:t>報送主管機關備查，其中</w:t>
            </w:r>
            <w:r w:rsidR="002E34C7" w:rsidRPr="00180FDD">
              <w:rPr>
                <w:rFonts w:eastAsia="標楷體"/>
              </w:rPr>
              <w:t>光碟片內容</w:t>
            </w:r>
            <w:bookmarkStart w:id="9" w:name="_GoBack"/>
            <w:bookmarkEnd w:id="9"/>
            <w:r w:rsidR="0091031E" w:rsidRPr="00180FDD">
              <w:rPr>
                <w:rFonts w:eastAsia="標楷體"/>
              </w:rPr>
              <w:t>應含可搜尋關鍵字及複製內容之精算意見書及精算備忘錄的</w:t>
            </w:r>
            <w:r w:rsidR="0091031E" w:rsidRPr="00180FDD">
              <w:rPr>
                <w:rFonts w:eastAsia="標楷體"/>
              </w:rPr>
              <w:t>WORD</w:t>
            </w:r>
            <w:r w:rsidR="0091031E" w:rsidRPr="00180FDD">
              <w:rPr>
                <w:rFonts w:eastAsia="標楷體"/>
              </w:rPr>
              <w:t>檔案</w:t>
            </w:r>
            <w:r w:rsidR="00B166B8" w:rsidRPr="00180FDD">
              <w:rPr>
                <w:rFonts w:eastAsia="標楷體" w:hint="eastAsia"/>
              </w:rPr>
              <w:t>(</w:t>
            </w:r>
            <w:r w:rsidR="0091031E" w:rsidRPr="00180FDD">
              <w:rPr>
                <w:rFonts w:eastAsia="標楷體"/>
              </w:rPr>
              <w:t>DOC</w:t>
            </w:r>
            <w:r w:rsidR="0091031E" w:rsidRPr="00180FDD">
              <w:rPr>
                <w:rFonts w:eastAsia="標楷體"/>
              </w:rPr>
              <w:t>或</w:t>
            </w:r>
            <w:r w:rsidR="0091031E" w:rsidRPr="00180FDD">
              <w:rPr>
                <w:rFonts w:eastAsia="標楷體"/>
              </w:rPr>
              <w:t>DOCX</w:t>
            </w:r>
            <w:r w:rsidR="0091031E" w:rsidRPr="00180FDD">
              <w:rPr>
                <w:rFonts w:eastAsia="標楷體"/>
              </w:rPr>
              <w:t>格式</w:t>
            </w:r>
            <w:r w:rsidR="00B166B8" w:rsidRPr="00180FDD">
              <w:rPr>
                <w:rFonts w:eastAsia="標楷體" w:hint="eastAsia"/>
              </w:rPr>
              <w:t>)</w:t>
            </w:r>
            <w:r w:rsidR="0091031E" w:rsidRPr="00180FDD">
              <w:rPr>
                <w:rFonts w:eastAsia="標楷體"/>
              </w:rPr>
              <w:t>以及精算備忘錄指定附表之</w:t>
            </w:r>
            <w:r w:rsidR="0091031E" w:rsidRPr="00180FDD">
              <w:rPr>
                <w:rFonts w:eastAsia="標楷體"/>
              </w:rPr>
              <w:t>EXCEL</w:t>
            </w:r>
            <w:r w:rsidR="0091031E" w:rsidRPr="00180FDD">
              <w:rPr>
                <w:rFonts w:eastAsia="標楷體"/>
              </w:rPr>
              <w:t>檔案</w:t>
            </w:r>
            <w:r w:rsidR="00B166B8" w:rsidRPr="00180FDD">
              <w:rPr>
                <w:rFonts w:eastAsia="標楷體" w:hint="eastAsia"/>
              </w:rPr>
              <w:lastRenderedPageBreak/>
              <w:t>(</w:t>
            </w:r>
            <w:r w:rsidR="0091031E" w:rsidRPr="00180FDD">
              <w:rPr>
                <w:rFonts w:eastAsia="標楷體"/>
              </w:rPr>
              <w:t>XLS</w:t>
            </w:r>
            <w:r w:rsidR="0091031E" w:rsidRPr="00180FDD">
              <w:rPr>
                <w:rFonts w:eastAsia="標楷體"/>
              </w:rPr>
              <w:t>或</w:t>
            </w:r>
            <w:r w:rsidR="0091031E" w:rsidRPr="00180FDD">
              <w:rPr>
                <w:rFonts w:eastAsia="標楷體"/>
              </w:rPr>
              <w:t>XLSX</w:t>
            </w:r>
            <w:r w:rsidR="0091031E" w:rsidRPr="00180FDD">
              <w:rPr>
                <w:rFonts w:eastAsia="標楷體"/>
              </w:rPr>
              <w:t>格式</w:t>
            </w:r>
            <w:r w:rsidR="00B166B8" w:rsidRPr="00180FDD">
              <w:rPr>
                <w:rFonts w:eastAsia="標楷體" w:hint="eastAsia"/>
              </w:rPr>
              <w:t>)</w:t>
            </w:r>
            <w:r w:rsidR="0091031E" w:rsidRPr="00180FDD">
              <w:rPr>
                <w:rFonts w:eastAsia="標楷體"/>
              </w:rPr>
              <w:t>，所有檔案名稱應標示公司名稱及年度。</w:t>
            </w:r>
            <w:r w:rsidRPr="00180FDD">
              <w:rPr>
                <w:rFonts w:eastAsia="標楷體"/>
              </w:rPr>
              <w:t>另若光碟片內容之文字、數值及表格以圖片檔或掃描檔呈現時，應檢附相應之</w:t>
            </w:r>
            <w:r w:rsidRPr="00180FDD">
              <w:rPr>
                <w:rFonts w:eastAsia="標楷體"/>
              </w:rPr>
              <w:t>EXCEL</w:t>
            </w:r>
            <w:r w:rsidRPr="00180FDD">
              <w:rPr>
                <w:rFonts w:eastAsia="標楷體"/>
              </w:rPr>
              <w:t>檔案並於備忘錄中載明參照方式。</w:t>
            </w:r>
          </w:p>
          <w:p w:rsidR="0091031E" w:rsidRPr="00180FDD" w:rsidRDefault="0091031E" w:rsidP="00B35189">
            <w:pPr>
              <w:kinsoku w:val="0"/>
              <w:overflowPunct w:val="0"/>
              <w:spacing w:line="360" w:lineRule="auto"/>
              <w:ind w:leftChars="400" w:left="960"/>
              <w:jc w:val="both"/>
              <w:textAlignment w:val="center"/>
              <w:rPr>
                <w:rFonts w:eastAsia="標楷體"/>
              </w:rPr>
            </w:pPr>
            <w:r w:rsidRPr="00180FDD">
              <w:rPr>
                <w:rFonts w:eastAsia="標楷體"/>
              </w:rPr>
              <w:t>前項指定附表應依主管機關指定之格式及編排方式提供，除附表之說明部分得由簽證精算人員自行酌修外，其餘不得任意調整或刪除。</w:t>
            </w:r>
          </w:p>
          <w:p w:rsidR="0091031E" w:rsidRPr="00180FDD" w:rsidRDefault="0091031E" w:rsidP="00B35189">
            <w:pPr>
              <w:kinsoku w:val="0"/>
              <w:overflowPunct w:val="0"/>
              <w:spacing w:line="360" w:lineRule="auto"/>
              <w:ind w:leftChars="400" w:left="960"/>
              <w:jc w:val="both"/>
              <w:textAlignment w:val="center"/>
              <w:rPr>
                <w:rFonts w:eastAsia="標楷體"/>
              </w:rPr>
            </w:pPr>
            <w:r w:rsidRPr="00180FDD">
              <w:rPr>
                <w:rFonts w:eastAsia="標楷體"/>
              </w:rPr>
              <w:t>簽證精算人員檢附商品送審相關文件者，得僅提供電子檔案。</w:t>
            </w:r>
          </w:p>
        </w:tc>
      </w:tr>
      <w:tr w:rsidR="00180FDD" w:rsidRPr="00180FDD" w:rsidTr="00E01844">
        <w:trPr>
          <w:trHeight w:val="686"/>
        </w:trPr>
        <w:tc>
          <w:tcPr>
            <w:tcW w:w="9360" w:type="dxa"/>
          </w:tcPr>
          <w:p w:rsidR="0091031E"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lastRenderedPageBreak/>
              <w:t>六十八、</w:t>
            </w:r>
            <w:r w:rsidR="0091031E" w:rsidRPr="00180FDD">
              <w:rPr>
                <w:rFonts w:eastAsia="標楷體"/>
              </w:rPr>
              <w:t>有關本說明未規範事項，簽證精算人員應依精算實務處理原則以及各保險商品精算實務處理準則辦理。</w:t>
            </w:r>
          </w:p>
        </w:tc>
      </w:tr>
      <w:tr w:rsidR="00180FDD" w:rsidRPr="00180FDD" w:rsidTr="001E7608">
        <w:trPr>
          <w:trHeight w:val="57"/>
        </w:trPr>
        <w:tc>
          <w:tcPr>
            <w:tcW w:w="9360" w:type="dxa"/>
          </w:tcPr>
          <w:p w:rsidR="0091031E"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六十九、</w:t>
            </w:r>
            <w:r w:rsidR="0091031E" w:rsidRPr="00180FDD">
              <w:rPr>
                <w:rFonts w:eastAsia="標楷體"/>
              </w:rPr>
              <w:t>簽證精算人員應於當年度之簽證報告中，針對上年度之覆閱意見另</w:t>
            </w:r>
            <w:r w:rsidR="00120BB9" w:rsidRPr="00180FDD">
              <w:rPr>
                <w:rFonts w:eastAsia="標楷體"/>
              </w:rPr>
              <w:t>立</w:t>
            </w:r>
            <w:r w:rsidR="0091031E" w:rsidRPr="00180FDD">
              <w:rPr>
                <w:rFonts w:eastAsia="標楷體"/>
              </w:rPr>
              <w:t>章節提出說明</w:t>
            </w:r>
            <w:r w:rsidR="00120BB9" w:rsidRPr="00180FDD">
              <w:rPr>
                <w:rFonts w:eastAsia="標楷體"/>
              </w:rPr>
              <w:t>或</w:t>
            </w:r>
            <w:r w:rsidR="0091031E" w:rsidRPr="00180FDD">
              <w:rPr>
                <w:rFonts w:eastAsia="標楷體"/>
              </w:rPr>
              <w:t>改善方式，當年度之簽證報告亦須同步</w:t>
            </w:r>
            <w:r w:rsidR="00120BB9" w:rsidRPr="00180FDD">
              <w:rPr>
                <w:rFonts w:eastAsia="標楷體"/>
              </w:rPr>
              <w:t>辦理</w:t>
            </w:r>
            <w:r w:rsidR="0091031E" w:rsidRPr="00180FDD">
              <w:rPr>
                <w:rFonts w:eastAsia="標楷體"/>
              </w:rPr>
              <w:t>。</w:t>
            </w:r>
          </w:p>
          <w:p w:rsidR="0091031E" w:rsidRPr="00180FDD" w:rsidRDefault="0091031E" w:rsidP="00B35189">
            <w:pPr>
              <w:kinsoku w:val="0"/>
              <w:overflowPunct w:val="0"/>
              <w:spacing w:line="360" w:lineRule="auto"/>
              <w:ind w:leftChars="400" w:left="960"/>
              <w:jc w:val="both"/>
              <w:textAlignment w:val="center"/>
              <w:rPr>
                <w:rFonts w:eastAsia="標楷體"/>
              </w:rPr>
            </w:pPr>
            <w:r w:rsidRPr="00180FDD">
              <w:rPr>
                <w:rFonts w:eastAsia="標楷體"/>
              </w:rPr>
              <w:t>若為委外簽證精算人員，應另</w:t>
            </w:r>
            <w:r w:rsidR="00120BB9" w:rsidRPr="00180FDD">
              <w:rPr>
                <w:rFonts w:eastAsia="標楷體"/>
              </w:rPr>
              <w:t>立</w:t>
            </w:r>
            <w:r w:rsidRPr="00180FDD">
              <w:rPr>
                <w:rFonts w:eastAsia="標楷體"/>
              </w:rPr>
              <w:t>章節載明直接引用公司資料明細與其合理性檢核方式，並提供重要決策會議資料等。</w:t>
            </w:r>
          </w:p>
        </w:tc>
      </w:tr>
      <w:tr w:rsidR="00180FDD" w:rsidRPr="00180FDD" w:rsidTr="00E01844">
        <w:trPr>
          <w:trHeight w:val="686"/>
        </w:trPr>
        <w:tc>
          <w:tcPr>
            <w:tcW w:w="9360" w:type="dxa"/>
          </w:tcPr>
          <w:p w:rsidR="0097693F" w:rsidRPr="00180FDD" w:rsidRDefault="0097693F" w:rsidP="00B35189">
            <w:pPr>
              <w:kinsoku w:val="0"/>
              <w:overflowPunct w:val="0"/>
              <w:spacing w:line="360" w:lineRule="auto"/>
              <w:ind w:left="960" w:hangingChars="400" w:hanging="960"/>
              <w:jc w:val="both"/>
              <w:textAlignment w:val="center"/>
              <w:rPr>
                <w:rFonts w:eastAsia="標楷體"/>
              </w:rPr>
            </w:pPr>
            <w:r w:rsidRPr="00180FDD">
              <w:rPr>
                <w:rFonts w:eastAsia="標楷體"/>
              </w:rPr>
              <w:t>七十、</w:t>
            </w:r>
            <w:r w:rsidR="00684355" w:rsidRPr="00180FDD">
              <w:rPr>
                <w:rFonts w:eastAsia="標楷體"/>
              </w:rPr>
              <w:t xml:space="preserve">　</w:t>
            </w:r>
            <w:r w:rsidR="0091031E" w:rsidRPr="00180FDD">
              <w:rPr>
                <w:rFonts w:eastAsia="標楷體"/>
              </w:rPr>
              <w:t>簽證精算人員對其簽署精算報告之各項數值應審慎檢視，如有顯著異常者，主管機關得視情節輕重，要求公司委託外部專業機構重出報告，或進行專案檢查。</w:t>
            </w:r>
          </w:p>
        </w:tc>
      </w:tr>
    </w:tbl>
    <w:p w:rsidR="00BE17B0" w:rsidRPr="00B749EF" w:rsidRDefault="00BE17B0" w:rsidP="001F5156">
      <w:pPr>
        <w:kinsoku w:val="0"/>
        <w:overflowPunct w:val="0"/>
        <w:spacing w:line="360" w:lineRule="auto"/>
        <w:ind w:rightChars="-25" w:right="-60"/>
        <w:textAlignment w:val="center"/>
        <w:rPr>
          <w:rFonts w:ascii="Arial" w:eastAsia="標楷體" w:hAnsi="Arial" w:cs="Arial"/>
        </w:rPr>
      </w:pPr>
    </w:p>
    <w:sectPr w:rsidR="00BE17B0" w:rsidRPr="00B749EF" w:rsidSect="00E01844">
      <w:footerReference w:type="default" r:id="rId8"/>
      <w:pgSz w:w="11906" w:h="16838" w:code="9"/>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DCD" w:rsidRDefault="00DA3DCD">
      <w:r>
        <w:separator/>
      </w:r>
    </w:p>
  </w:endnote>
  <w:endnote w:type="continuationSeparator" w:id="0">
    <w:p w:rsidR="00DA3DCD" w:rsidRDefault="00DA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F8F" w:rsidRPr="00B749EF" w:rsidRDefault="00A41F8F">
    <w:pPr>
      <w:pStyle w:val="aa"/>
      <w:jc w:val="center"/>
      <w:rPr>
        <w:rFonts w:ascii="Arial" w:eastAsia="標楷體" w:hAnsi="Arial" w:cs="Arial"/>
      </w:rPr>
    </w:pPr>
    <w:r w:rsidRPr="00B749EF">
      <w:rPr>
        <w:rFonts w:ascii="Arial" w:eastAsia="標楷體" w:hAnsi="Arial" w:cs="Arial"/>
      </w:rPr>
      <w:fldChar w:fldCharType="begin"/>
    </w:r>
    <w:r w:rsidRPr="00B749EF">
      <w:rPr>
        <w:rFonts w:ascii="Arial" w:eastAsia="標楷體" w:hAnsi="Arial" w:cs="Arial"/>
      </w:rPr>
      <w:instrText xml:space="preserve"> PAGE   \* MERGEFORMAT </w:instrText>
    </w:r>
    <w:r w:rsidRPr="00B749EF">
      <w:rPr>
        <w:rFonts w:ascii="Arial" w:eastAsia="標楷體" w:hAnsi="Arial" w:cs="Arial"/>
      </w:rPr>
      <w:fldChar w:fldCharType="separate"/>
    </w:r>
    <w:r w:rsidR="0003515A" w:rsidRPr="0003515A">
      <w:rPr>
        <w:rFonts w:ascii="Arial" w:eastAsia="標楷體" w:hAnsi="Arial" w:cs="Arial"/>
        <w:noProof/>
        <w:lang w:val="zh-TW"/>
      </w:rPr>
      <w:t>16</w:t>
    </w:r>
    <w:r w:rsidRPr="00B749EF">
      <w:rPr>
        <w:rFonts w:ascii="Arial" w:eastAsia="標楷體" w:hAnsi="Arial" w:cs="Arial"/>
      </w:rPr>
      <w:fldChar w:fldCharType="end"/>
    </w:r>
  </w:p>
  <w:p w:rsidR="00A41F8F" w:rsidRDefault="00A41F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DCD" w:rsidRDefault="00DA3DCD">
      <w:r>
        <w:separator/>
      </w:r>
    </w:p>
  </w:footnote>
  <w:footnote w:type="continuationSeparator" w:id="0">
    <w:p w:rsidR="00DA3DCD" w:rsidRDefault="00DA3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F78"/>
    <w:multiLevelType w:val="hybridMultilevel"/>
    <w:tmpl w:val="F87C3F9C"/>
    <w:lvl w:ilvl="0" w:tplc="6B84195A">
      <w:start w:val="2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2C3C2B"/>
    <w:multiLevelType w:val="hybridMultilevel"/>
    <w:tmpl w:val="F880E6DA"/>
    <w:lvl w:ilvl="0" w:tplc="636C940C">
      <w:start w:val="4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6B1AF4"/>
    <w:multiLevelType w:val="hybridMultilevel"/>
    <w:tmpl w:val="7D44FDAC"/>
    <w:lvl w:ilvl="0" w:tplc="B4747D30">
      <w:start w:val="6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F34510"/>
    <w:multiLevelType w:val="hybridMultilevel"/>
    <w:tmpl w:val="966AE4FC"/>
    <w:lvl w:ilvl="0" w:tplc="B8763824">
      <w:start w:val="2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1C4CFF"/>
    <w:multiLevelType w:val="hybridMultilevel"/>
    <w:tmpl w:val="36F4A06A"/>
    <w:lvl w:ilvl="0" w:tplc="CE58A80A">
      <w:start w:val="3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4F4830"/>
    <w:multiLevelType w:val="hybridMultilevel"/>
    <w:tmpl w:val="3490D116"/>
    <w:lvl w:ilvl="0" w:tplc="580E9D90">
      <w:start w:val="4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5CD45AB"/>
    <w:multiLevelType w:val="hybridMultilevel"/>
    <w:tmpl w:val="F438B93E"/>
    <w:lvl w:ilvl="0" w:tplc="9226358E">
      <w:start w:val="2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3431FA"/>
    <w:multiLevelType w:val="hybridMultilevel"/>
    <w:tmpl w:val="06D43F6C"/>
    <w:lvl w:ilvl="0" w:tplc="48507990">
      <w:start w:val="1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8607EDC"/>
    <w:multiLevelType w:val="hybridMultilevel"/>
    <w:tmpl w:val="2AD8E8FC"/>
    <w:lvl w:ilvl="0" w:tplc="DA9C4504">
      <w:start w:val="5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9234745"/>
    <w:multiLevelType w:val="hybridMultilevel"/>
    <w:tmpl w:val="E37830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B2C3C64"/>
    <w:multiLevelType w:val="hybridMultilevel"/>
    <w:tmpl w:val="3D9863E4"/>
    <w:lvl w:ilvl="0" w:tplc="1DFA74EE">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B6D74E2"/>
    <w:multiLevelType w:val="hybridMultilevel"/>
    <w:tmpl w:val="A7AAC00A"/>
    <w:lvl w:ilvl="0" w:tplc="6FF22BD0">
      <w:start w:val="5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F3A4F57"/>
    <w:multiLevelType w:val="hybridMultilevel"/>
    <w:tmpl w:val="01FA0D6E"/>
    <w:lvl w:ilvl="0" w:tplc="787E1586">
      <w:start w:val="5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02462B9"/>
    <w:multiLevelType w:val="hybridMultilevel"/>
    <w:tmpl w:val="4E020E4E"/>
    <w:lvl w:ilvl="0" w:tplc="D9AEA7F0">
      <w:start w:val="5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FC38E5"/>
    <w:multiLevelType w:val="hybridMultilevel"/>
    <w:tmpl w:val="C6926E0C"/>
    <w:lvl w:ilvl="0" w:tplc="9A52A324">
      <w:start w:val="4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56359F"/>
    <w:multiLevelType w:val="hybridMultilevel"/>
    <w:tmpl w:val="A02A0196"/>
    <w:lvl w:ilvl="0" w:tplc="9E8A7F32">
      <w:start w:val="1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5174050"/>
    <w:multiLevelType w:val="hybridMultilevel"/>
    <w:tmpl w:val="3D52CBF2"/>
    <w:lvl w:ilvl="0" w:tplc="6CCC3900">
      <w:start w:val="2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5C42463"/>
    <w:multiLevelType w:val="hybridMultilevel"/>
    <w:tmpl w:val="3D52CBF2"/>
    <w:lvl w:ilvl="0" w:tplc="6CCC3900">
      <w:start w:val="2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7683395"/>
    <w:multiLevelType w:val="hybridMultilevel"/>
    <w:tmpl w:val="4552AE4A"/>
    <w:lvl w:ilvl="0" w:tplc="980EDDDE">
      <w:start w:val="5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A91586C"/>
    <w:multiLevelType w:val="hybridMultilevel"/>
    <w:tmpl w:val="F1A62074"/>
    <w:lvl w:ilvl="0" w:tplc="E7B470C2">
      <w:start w:val="1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B9431BC"/>
    <w:multiLevelType w:val="hybridMultilevel"/>
    <w:tmpl w:val="4846059C"/>
    <w:lvl w:ilvl="0" w:tplc="D7824D98">
      <w:start w:val="4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BDD2A6D"/>
    <w:multiLevelType w:val="hybridMultilevel"/>
    <w:tmpl w:val="C854FAC8"/>
    <w:lvl w:ilvl="0" w:tplc="DA14BFDE">
      <w:start w:val="4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D050FD6"/>
    <w:multiLevelType w:val="hybridMultilevel"/>
    <w:tmpl w:val="8356EC98"/>
    <w:lvl w:ilvl="0" w:tplc="62A6EE14">
      <w:start w:val="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DC13246"/>
    <w:multiLevelType w:val="hybridMultilevel"/>
    <w:tmpl w:val="B4F478C4"/>
    <w:lvl w:ilvl="0" w:tplc="E22896FE">
      <w:start w:val="6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EB7029C"/>
    <w:multiLevelType w:val="hybridMultilevel"/>
    <w:tmpl w:val="A2FADE98"/>
    <w:lvl w:ilvl="0" w:tplc="2D4AC654">
      <w:start w:val="5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EE27EA2"/>
    <w:multiLevelType w:val="hybridMultilevel"/>
    <w:tmpl w:val="07F4685A"/>
    <w:lvl w:ilvl="0" w:tplc="9DCE93FA">
      <w:start w:val="2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FCD33E7"/>
    <w:multiLevelType w:val="hybridMultilevel"/>
    <w:tmpl w:val="79B46062"/>
    <w:lvl w:ilvl="0" w:tplc="252C6DE4">
      <w:start w:val="1"/>
      <w:numFmt w:val="taiwaneseCountingThousand"/>
      <w:lvlText w:val="（%1）"/>
      <w:lvlJc w:val="left"/>
      <w:pPr>
        <w:tabs>
          <w:tab w:val="num" w:pos="1287"/>
        </w:tabs>
        <w:ind w:left="1287" w:hanging="720"/>
      </w:pPr>
      <w:rPr>
        <w:rFonts w:ascii="Times New Roman" w:hAnsi="Times New Roman" w:cs="Times New Roman" w:hint="default"/>
      </w:rPr>
    </w:lvl>
    <w:lvl w:ilvl="1" w:tplc="04090019" w:tentative="1">
      <w:start w:val="1"/>
      <w:numFmt w:val="ideographTraditional"/>
      <w:lvlText w:val="%2、"/>
      <w:lvlJc w:val="left"/>
      <w:pPr>
        <w:ind w:left="687" w:hanging="480"/>
      </w:pPr>
    </w:lvl>
    <w:lvl w:ilvl="2" w:tplc="0409001B" w:tentative="1">
      <w:start w:val="1"/>
      <w:numFmt w:val="lowerRoman"/>
      <w:lvlText w:val="%3."/>
      <w:lvlJc w:val="right"/>
      <w:pPr>
        <w:ind w:left="1167" w:hanging="480"/>
      </w:pPr>
    </w:lvl>
    <w:lvl w:ilvl="3" w:tplc="0409000F" w:tentative="1">
      <w:start w:val="1"/>
      <w:numFmt w:val="decimal"/>
      <w:lvlText w:val="%4."/>
      <w:lvlJc w:val="left"/>
      <w:pPr>
        <w:ind w:left="1647" w:hanging="480"/>
      </w:pPr>
    </w:lvl>
    <w:lvl w:ilvl="4" w:tplc="04090019" w:tentative="1">
      <w:start w:val="1"/>
      <w:numFmt w:val="ideographTraditional"/>
      <w:lvlText w:val="%5、"/>
      <w:lvlJc w:val="left"/>
      <w:pPr>
        <w:ind w:left="2127" w:hanging="480"/>
      </w:pPr>
    </w:lvl>
    <w:lvl w:ilvl="5" w:tplc="0409001B" w:tentative="1">
      <w:start w:val="1"/>
      <w:numFmt w:val="lowerRoman"/>
      <w:lvlText w:val="%6."/>
      <w:lvlJc w:val="right"/>
      <w:pPr>
        <w:ind w:left="2607" w:hanging="480"/>
      </w:pPr>
    </w:lvl>
    <w:lvl w:ilvl="6" w:tplc="0409000F" w:tentative="1">
      <w:start w:val="1"/>
      <w:numFmt w:val="decimal"/>
      <w:lvlText w:val="%7."/>
      <w:lvlJc w:val="left"/>
      <w:pPr>
        <w:ind w:left="3087" w:hanging="480"/>
      </w:pPr>
    </w:lvl>
    <w:lvl w:ilvl="7" w:tplc="04090019" w:tentative="1">
      <w:start w:val="1"/>
      <w:numFmt w:val="ideographTraditional"/>
      <w:lvlText w:val="%8、"/>
      <w:lvlJc w:val="left"/>
      <w:pPr>
        <w:ind w:left="3567" w:hanging="480"/>
      </w:pPr>
    </w:lvl>
    <w:lvl w:ilvl="8" w:tplc="0409001B" w:tentative="1">
      <w:start w:val="1"/>
      <w:numFmt w:val="lowerRoman"/>
      <w:lvlText w:val="%9."/>
      <w:lvlJc w:val="right"/>
      <w:pPr>
        <w:ind w:left="4047" w:hanging="480"/>
      </w:pPr>
    </w:lvl>
  </w:abstractNum>
  <w:abstractNum w:abstractNumId="27">
    <w:nsid w:val="254207BB"/>
    <w:multiLevelType w:val="hybridMultilevel"/>
    <w:tmpl w:val="63C4ECCC"/>
    <w:lvl w:ilvl="0" w:tplc="93E64D00">
      <w:start w:val="3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6067022"/>
    <w:multiLevelType w:val="hybridMultilevel"/>
    <w:tmpl w:val="298059A4"/>
    <w:lvl w:ilvl="0" w:tplc="5CB86AF2">
      <w:start w:val="2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77C0CF9"/>
    <w:multiLevelType w:val="hybridMultilevel"/>
    <w:tmpl w:val="A306BF06"/>
    <w:lvl w:ilvl="0" w:tplc="ECE0EE9A">
      <w:start w:val="4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8CB20BB"/>
    <w:multiLevelType w:val="hybridMultilevel"/>
    <w:tmpl w:val="AFCE0118"/>
    <w:lvl w:ilvl="0" w:tplc="50CC3ACE">
      <w:start w:val="2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9C0637D"/>
    <w:multiLevelType w:val="hybridMultilevel"/>
    <w:tmpl w:val="E72ABC46"/>
    <w:lvl w:ilvl="0" w:tplc="7026FC18">
      <w:start w:val="1"/>
      <w:numFmt w:val="taiwaneseCountingThousand"/>
      <w:lvlText w:val="第%1章、"/>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2A326BF8"/>
    <w:multiLevelType w:val="hybridMultilevel"/>
    <w:tmpl w:val="C83C373E"/>
    <w:lvl w:ilvl="0" w:tplc="765C16AE">
      <w:start w:val="3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B0F0AAF"/>
    <w:multiLevelType w:val="hybridMultilevel"/>
    <w:tmpl w:val="F768EEE6"/>
    <w:lvl w:ilvl="0" w:tplc="8C56602E">
      <w:start w:val="3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CC11A04"/>
    <w:multiLevelType w:val="hybridMultilevel"/>
    <w:tmpl w:val="94E6C20C"/>
    <w:lvl w:ilvl="0" w:tplc="4CD84BA4">
      <w:start w:val="5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D183BAC"/>
    <w:multiLevelType w:val="hybridMultilevel"/>
    <w:tmpl w:val="03C02F06"/>
    <w:lvl w:ilvl="0" w:tplc="F342EEA8">
      <w:start w:val="4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ED13A94"/>
    <w:multiLevelType w:val="hybridMultilevel"/>
    <w:tmpl w:val="1E04E968"/>
    <w:lvl w:ilvl="0" w:tplc="FA427484">
      <w:start w:val="5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FBD0FE2"/>
    <w:multiLevelType w:val="hybridMultilevel"/>
    <w:tmpl w:val="EA2055E6"/>
    <w:lvl w:ilvl="0" w:tplc="A0C2A1FA">
      <w:start w:val="4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22853FC"/>
    <w:multiLevelType w:val="hybridMultilevel"/>
    <w:tmpl w:val="2DB2780E"/>
    <w:lvl w:ilvl="0" w:tplc="07661FEE">
      <w:start w:val="7"/>
      <w:numFmt w:val="taiwaneseCountingThousand"/>
      <w:lvlText w:val="第%1節、"/>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25178D5"/>
    <w:multiLevelType w:val="hybridMultilevel"/>
    <w:tmpl w:val="97BC8FF4"/>
    <w:lvl w:ilvl="0" w:tplc="85907E00">
      <w:start w:val="6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25B003F"/>
    <w:multiLevelType w:val="hybridMultilevel"/>
    <w:tmpl w:val="8356EC98"/>
    <w:lvl w:ilvl="0" w:tplc="62A6EE14">
      <w:start w:val="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29B1B03"/>
    <w:multiLevelType w:val="hybridMultilevel"/>
    <w:tmpl w:val="07F4685A"/>
    <w:lvl w:ilvl="0" w:tplc="9DCE93FA">
      <w:start w:val="2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38F440F"/>
    <w:multiLevelType w:val="hybridMultilevel"/>
    <w:tmpl w:val="578898A8"/>
    <w:lvl w:ilvl="0" w:tplc="85B29C7A">
      <w:start w:val="5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393485E"/>
    <w:multiLevelType w:val="hybridMultilevel"/>
    <w:tmpl w:val="E7BCB7BA"/>
    <w:lvl w:ilvl="0" w:tplc="27A2C718">
      <w:start w:val="3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4474050"/>
    <w:multiLevelType w:val="hybridMultilevel"/>
    <w:tmpl w:val="080CF268"/>
    <w:lvl w:ilvl="0" w:tplc="F36ABD3E">
      <w:start w:val="2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6535F1E"/>
    <w:multiLevelType w:val="hybridMultilevel"/>
    <w:tmpl w:val="B3821D32"/>
    <w:lvl w:ilvl="0" w:tplc="02EEC6DC">
      <w:start w:val="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74A3DA2"/>
    <w:multiLevelType w:val="hybridMultilevel"/>
    <w:tmpl w:val="42F084B0"/>
    <w:lvl w:ilvl="0" w:tplc="605ADEF8">
      <w:start w:val="3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9523EBC"/>
    <w:multiLevelType w:val="hybridMultilevel"/>
    <w:tmpl w:val="FABEE4F6"/>
    <w:lvl w:ilvl="0" w:tplc="B7C22DFC">
      <w:start w:val="2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95A6160"/>
    <w:multiLevelType w:val="hybridMultilevel"/>
    <w:tmpl w:val="466AD982"/>
    <w:lvl w:ilvl="0" w:tplc="48507990">
      <w:start w:val="1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A371237"/>
    <w:multiLevelType w:val="hybridMultilevel"/>
    <w:tmpl w:val="073850A4"/>
    <w:lvl w:ilvl="0" w:tplc="4642BF1E">
      <w:start w:val="6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A3A7AE9"/>
    <w:multiLevelType w:val="hybridMultilevel"/>
    <w:tmpl w:val="0004E390"/>
    <w:lvl w:ilvl="0" w:tplc="EE164B56">
      <w:start w:val="2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ADB13AE"/>
    <w:multiLevelType w:val="hybridMultilevel"/>
    <w:tmpl w:val="7AF8DB30"/>
    <w:lvl w:ilvl="0" w:tplc="04AEF916">
      <w:start w:val="4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B1B49B3"/>
    <w:multiLevelType w:val="hybridMultilevel"/>
    <w:tmpl w:val="B38CBA68"/>
    <w:lvl w:ilvl="0" w:tplc="9F1A5072">
      <w:start w:val="1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B6A21F9"/>
    <w:multiLevelType w:val="hybridMultilevel"/>
    <w:tmpl w:val="F490F8BE"/>
    <w:lvl w:ilvl="0" w:tplc="29CCBD36">
      <w:start w:val="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BFA3599"/>
    <w:multiLevelType w:val="hybridMultilevel"/>
    <w:tmpl w:val="E4FA0A3C"/>
    <w:lvl w:ilvl="0" w:tplc="300C9E38">
      <w:start w:val="5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D7E3963"/>
    <w:multiLevelType w:val="hybridMultilevel"/>
    <w:tmpl w:val="B3D8F154"/>
    <w:lvl w:ilvl="0" w:tplc="B6383548">
      <w:start w:val="5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3F1E11C5"/>
    <w:multiLevelType w:val="hybridMultilevel"/>
    <w:tmpl w:val="E4344B3C"/>
    <w:lvl w:ilvl="0" w:tplc="E81866E2">
      <w:start w:val="7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F5C6024"/>
    <w:multiLevelType w:val="hybridMultilevel"/>
    <w:tmpl w:val="21FABD6A"/>
    <w:lvl w:ilvl="0" w:tplc="4B404514">
      <w:start w:val="6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FAF5FA9"/>
    <w:multiLevelType w:val="hybridMultilevel"/>
    <w:tmpl w:val="59B61882"/>
    <w:lvl w:ilvl="0" w:tplc="E780B9FC">
      <w:start w:val="3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3FAF64E7"/>
    <w:multiLevelType w:val="hybridMultilevel"/>
    <w:tmpl w:val="6E146B4C"/>
    <w:lvl w:ilvl="0" w:tplc="E456357E">
      <w:start w:val="5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1EE141C"/>
    <w:multiLevelType w:val="hybridMultilevel"/>
    <w:tmpl w:val="52304A92"/>
    <w:lvl w:ilvl="0" w:tplc="E23EF8C6">
      <w:start w:val="6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3472F5C"/>
    <w:multiLevelType w:val="hybridMultilevel"/>
    <w:tmpl w:val="223CD19A"/>
    <w:lvl w:ilvl="0" w:tplc="6DFCBB3C">
      <w:start w:val="6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4E83B53"/>
    <w:multiLevelType w:val="hybridMultilevel"/>
    <w:tmpl w:val="377C1202"/>
    <w:lvl w:ilvl="0" w:tplc="05BA2A20">
      <w:start w:val="3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5603DE3"/>
    <w:multiLevelType w:val="hybridMultilevel"/>
    <w:tmpl w:val="C96A9E64"/>
    <w:lvl w:ilvl="0" w:tplc="3912B252">
      <w:start w:val="7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606126A"/>
    <w:multiLevelType w:val="hybridMultilevel"/>
    <w:tmpl w:val="1E80958C"/>
    <w:lvl w:ilvl="0" w:tplc="7110CE0E">
      <w:start w:val="3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61D05B4"/>
    <w:multiLevelType w:val="hybridMultilevel"/>
    <w:tmpl w:val="E95E4780"/>
    <w:lvl w:ilvl="0" w:tplc="4AF4C532">
      <w:start w:val="4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72D4F68"/>
    <w:multiLevelType w:val="hybridMultilevel"/>
    <w:tmpl w:val="13C48B10"/>
    <w:lvl w:ilvl="0" w:tplc="4CEA432E">
      <w:start w:val="5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86D5413"/>
    <w:multiLevelType w:val="hybridMultilevel"/>
    <w:tmpl w:val="3ACA9FA0"/>
    <w:lvl w:ilvl="0" w:tplc="E6CCD2DA">
      <w:start w:val="4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496A375B"/>
    <w:multiLevelType w:val="hybridMultilevel"/>
    <w:tmpl w:val="D29AFED2"/>
    <w:lvl w:ilvl="0" w:tplc="B6ECF3A4">
      <w:start w:val="4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C372B33"/>
    <w:multiLevelType w:val="hybridMultilevel"/>
    <w:tmpl w:val="DEB0ADB0"/>
    <w:lvl w:ilvl="0" w:tplc="0409000F">
      <w:start w:val="1"/>
      <w:numFmt w:val="decimal"/>
      <w:lvlText w:val="%1."/>
      <w:lvlJc w:val="left"/>
      <w:pPr>
        <w:ind w:left="442" w:hanging="480"/>
      </w:p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70">
    <w:nsid w:val="4F4F5E20"/>
    <w:multiLevelType w:val="hybridMultilevel"/>
    <w:tmpl w:val="5A0AA062"/>
    <w:lvl w:ilvl="0" w:tplc="CFA0AEAC">
      <w:start w:val="1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4F843FD0"/>
    <w:multiLevelType w:val="hybridMultilevel"/>
    <w:tmpl w:val="80502522"/>
    <w:lvl w:ilvl="0" w:tplc="DDAE0678">
      <w:start w:val="6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08E2C60"/>
    <w:multiLevelType w:val="hybridMultilevel"/>
    <w:tmpl w:val="1696E00C"/>
    <w:lvl w:ilvl="0" w:tplc="1DBAE97A">
      <w:start w:val="61"/>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2D16D16"/>
    <w:multiLevelType w:val="hybridMultilevel"/>
    <w:tmpl w:val="74E4DB16"/>
    <w:lvl w:ilvl="0" w:tplc="FC141518">
      <w:start w:val="2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3A660D9"/>
    <w:multiLevelType w:val="hybridMultilevel"/>
    <w:tmpl w:val="841495CA"/>
    <w:lvl w:ilvl="0" w:tplc="E946DE0A">
      <w:start w:val="2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4D37194"/>
    <w:multiLevelType w:val="hybridMultilevel"/>
    <w:tmpl w:val="1BB0A81C"/>
    <w:lvl w:ilvl="0" w:tplc="C98A36FC">
      <w:start w:val="4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7203CBA"/>
    <w:multiLevelType w:val="hybridMultilevel"/>
    <w:tmpl w:val="EBBC33C6"/>
    <w:lvl w:ilvl="0" w:tplc="474471A2">
      <w:start w:val="4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7536530"/>
    <w:multiLevelType w:val="hybridMultilevel"/>
    <w:tmpl w:val="6FB8453A"/>
    <w:lvl w:ilvl="0" w:tplc="B748E158">
      <w:start w:val="64"/>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7ED73DA"/>
    <w:multiLevelType w:val="hybridMultilevel"/>
    <w:tmpl w:val="9CCA633C"/>
    <w:lvl w:ilvl="0" w:tplc="507CF47A">
      <w:start w:val="3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9CF132A"/>
    <w:multiLevelType w:val="hybridMultilevel"/>
    <w:tmpl w:val="B3F2CD6A"/>
    <w:lvl w:ilvl="0" w:tplc="2B745EF8">
      <w:start w:val="39"/>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5C294BF9"/>
    <w:multiLevelType w:val="hybridMultilevel"/>
    <w:tmpl w:val="B300850E"/>
    <w:lvl w:ilvl="0" w:tplc="D0E6930C">
      <w:start w:val="5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5D1003A9"/>
    <w:multiLevelType w:val="hybridMultilevel"/>
    <w:tmpl w:val="5218D6E8"/>
    <w:lvl w:ilvl="0" w:tplc="DD48B748">
      <w:start w:val="6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09B7360"/>
    <w:multiLevelType w:val="hybridMultilevel"/>
    <w:tmpl w:val="D8D61AB4"/>
    <w:lvl w:ilvl="0" w:tplc="C544660E">
      <w:start w:val="3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0D62F14"/>
    <w:multiLevelType w:val="hybridMultilevel"/>
    <w:tmpl w:val="8DFED754"/>
    <w:lvl w:ilvl="0" w:tplc="421A6FE2">
      <w:start w:val="17"/>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529327F"/>
    <w:multiLevelType w:val="hybridMultilevel"/>
    <w:tmpl w:val="FDCE9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63A7D8D"/>
    <w:multiLevelType w:val="hybridMultilevel"/>
    <w:tmpl w:val="C6320FE0"/>
    <w:lvl w:ilvl="0" w:tplc="E85477E4">
      <w:start w:val="7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7317DAD"/>
    <w:multiLevelType w:val="hybridMultilevel"/>
    <w:tmpl w:val="9F3C440A"/>
    <w:lvl w:ilvl="0" w:tplc="0E320440">
      <w:start w:val="1"/>
      <w:numFmt w:val="taiwaneseCountingThousand"/>
      <w:lvlText w:val="(%1)"/>
      <w:lvlJc w:val="left"/>
      <w:pPr>
        <w:ind w:left="1265" w:hanging="48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87">
    <w:nsid w:val="67F90471"/>
    <w:multiLevelType w:val="hybridMultilevel"/>
    <w:tmpl w:val="0C989D9C"/>
    <w:lvl w:ilvl="0" w:tplc="9CB40ECA">
      <w:start w:val="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82A71FD"/>
    <w:multiLevelType w:val="hybridMultilevel"/>
    <w:tmpl w:val="B1EC5314"/>
    <w:lvl w:ilvl="0" w:tplc="8996B10C">
      <w:start w:val="6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9622882"/>
    <w:multiLevelType w:val="hybridMultilevel"/>
    <w:tmpl w:val="5BC654A8"/>
    <w:lvl w:ilvl="0" w:tplc="8CD44322">
      <w:start w:val="68"/>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D2F636D"/>
    <w:multiLevelType w:val="hybridMultilevel"/>
    <w:tmpl w:val="F87C3F9C"/>
    <w:lvl w:ilvl="0" w:tplc="6B84195A">
      <w:start w:val="2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F4D2113"/>
    <w:multiLevelType w:val="hybridMultilevel"/>
    <w:tmpl w:val="B91269BA"/>
    <w:lvl w:ilvl="0" w:tplc="842ACB8C">
      <w:start w:val="1"/>
      <w:numFmt w:val="taiwaneseCountingThousand"/>
      <w:lvlText w:val="（%1）"/>
      <w:lvlJc w:val="left"/>
      <w:pPr>
        <w:tabs>
          <w:tab w:val="num" w:pos="1287"/>
        </w:tabs>
        <w:ind w:left="1287" w:hanging="720"/>
      </w:pPr>
      <w:rPr>
        <w:rFonts w:hint="default"/>
      </w:rPr>
    </w:lvl>
    <w:lvl w:ilvl="1" w:tplc="04090019" w:tentative="1">
      <w:start w:val="1"/>
      <w:numFmt w:val="ideographTraditional"/>
      <w:lvlText w:val="%2、"/>
      <w:lvlJc w:val="left"/>
      <w:pPr>
        <w:ind w:left="687" w:hanging="480"/>
      </w:pPr>
    </w:lvl>
    <w:lvl w:ilvl="2" w:tplc="0409001B" w:tentative="1">
      <w:start w:val="1"/>
      <w:numFmt w:val="lowerRoman"/>
      <w:lvlText w:val="%3."/>
      <w:lvlJc w:val="right"/>
      <w:pPr>
        <w:ind w:left="1167" w:hanging="480"/>
      </w:pPr>
    </w:lvl>
    <w:lvl w:ilvl="3" w:tplc="0409000F" w:tentative="1">
      <w:start w:val="1"/>
      <w:numFmt w:val="decimal"/>
      <w:lvlText w:val="%4."/>
      <w:lvlJc w:val="left"/>
      <w:pPr>
        <w:ind w:left="1647" w:hanging="480"/>
      </w:pPr>
    </w:lvl>
    <w:lvl w:ilvl="4" w:tplc="04090019" w:tentative="1">
      <w:start w:val="1"/>
      <w:numFmt w:val="ideographTraditional"/>
      <w:lvlText w:val="%5、"/>
      <w:lvlJc w:val="left"/>
      <w:pPr>
        <w:ind w:left="2127" w:hanging="480"/>
      </w:pPr>
    </w:lvl>
    <w:lvl w:ilvl="5" w:tplc="0409001B" w:tentative="1">
      <w:start w:val="1"/>
      <w:numFmt w:val="lowerRoman"/>
      <w:lvlText w:val="%6."/>
      <w:lvlJc w:val="right"/>
      <w:pPr>
        <w:ind w:left="2607" w:hanging="480"/>
      </w:pPr>
    </w:lvl>
    <w:lvl w:ilvl="6" w:tplc="0409000F" w:tentative="1">
      <w:start w:val="1"/>
      <w:numFmt w:val="decimal"/>
      <w:lvlText w:val="%7."/>
      <w:lvlJc w:val="left"/>
      <w:pPr>
        <w:ind w:left="3087" w:hanging="480"/>
      </w:pPr>
    </w:lvl>
    <w:lvl w:ilvl="7" w:tplc="04090019" w:tentative="1">
      <w:start w:val="1"/>
      <w:numFmt w:val="ideographTraditional"/>
      <w:lvlText w:val="%8、"/>
      <w:lvlJc w:val="left"/>
      <w:pPr>
        <w:ind w:left="3567" w:hanging="480"/>
      </w:pPr>
    </w:lvl>
    <w:lvl w:ilvl="8" w:tplc="0409001B" w:tentative="1">
      <w:start w:val="1"/>
      <w:numFmt w:val="lowerRoman"/>
      <w:lvlText w:val="%9."/>
      <w:lvlJc w:val="right"/>
      <w:pPr>
        <w:ind w:left="4047" w:hanging="480"/>
      </w:pPr>
    </w:lvl>
  </w:abstractNum>
  <w:abstractNum w:abstractNumId="92">
    <w:nsid w:val="707916E4"/>
    <w:multiLevelType w:val="hybridMultilevel"/>
    <w:tmpl w:val="F0F0DFBA"/>
    <w:lvl w:ilvl="0" w:tplc="8C8095B6">
      <w:start w:val="1"/>
      <w:numFmt w:val="taiwaneseCountingThousand"/>
      <w:lvlText w:val="%1、"/>
      <w:lvlJc w:val="left"/>
      <w:pPr>
        <w:tabs>
          <w:tab w:val="num" w:pos="567"/>
        </w:tabs>
        <w:ind w:left="567" w:hanging="567"/>
      </w:pPr>
      <w:rPr>
        <w:rFonts w:hAnsi="標楷體" w:hint="default"/>
        <w:u w:val="none"/>
        <w:lang w:val="en-US"/>
      </w:rPr>
    </w:lvl>
    <w:lvl w:ilvl="1" w:tplc="26306A94">
      <w:start w:val="2"/>
      <w:numFmt w:val="taiwaneseCountingThousand"/>
      <w:lvlText w:val="第%2節、"/>
      <w:lvlJc w:val="left"/>
      <w:pPr>
        <w:tabs>
          <w:tab w:val="num" w:pos="936"/>
        </w:tabs>
        <w:ind w:left="936" w:hanging="1080"/>
      </w:pPr>
      <w:rPr>
        <w:rFonts w:eastAsia="新細明體"/>
        <w:color w:val="auto"/>
        <w:u w:val="single"/>
      </w:rPr>
    </w:lvl>
    <w:lvl w:ilvl="2" w:tplc="0409001B">
      <w:start w:val="1"/>
      <w:numFmt w:val="decimal"/>
      <w:lvlText w:val="%3."/>
      <w:lvlJc w:val="left"/>
      <w:pPr>
        <w:tabs>
          <w:tab w:val="num" w:pos="1560"/>
        </w:tabs>
        <w:ind w:left="1560" w:hanging="360"/>
      </w:pPr>
    </w:lvl>
    <w:lvl w:ilvl="3" w:tplc="0409000F">
      <w:start w:val="1"/>
      <w:numFmt w:val="decimal"/>
      <w:lvlText w:val="%4."/>
      <w:lvlJc w:val="left"/>
      <w:pPr>
        <w:tabs>
          <w:tab w:val="num" w:pos="2280"/>
        </w:tabs>
        <w:ind w:left="2280" w:hanging="360"/>
      </w:pPr>
    </w:lvl>
    <w:lvl w:ilvl="4" w:tplc="04090019">
      <w:start w:val="1"/>
      <w:numFmt w:val="decimal"/>
      <w:lvlText w:val="%5."/>
      <w:lvlJc w:val="left"/>
      <w:pPr>
        <w:tabs>
          <w:tab w:val="num" w:pos="3000"/>
        </w:tabs>
        <w:ind w:left="3000" w:hanging="360"/>
      </w:pPr>
    </w:lvl>
    <w:lvl w:ilvl="5" w:tplc="0409001B">
      <w:start w:val="1"/>
      <w:numFmt w:val="decimal"/>
      <w:lvlText w:val="%6."/>
      <w:lvlJc w:val="left"/>
      <w:pPr>
        <w:tabs>
          <w:tab w:val="num" w:pos="3720"/>
        </w:tabs>
        <w:ind w:left="3720" w:hanging="360"/>
      </w:pPr>
    </w:lvl>
    <w:lvl w:ilvl="6" w:tplc="0409000F">
      <w:start w:val="1"/>
      <w:numFmt w:val="decimal"/>
      <w:lvlText w:val="%7."/>
      <w:lvlJc w:val="left"/>
      <w:pPr>
        <w:tabs>
          <w:tab w:val="num" w:pos="4440"/>
        </w:tabs>
        <w:ind w:left="4440" w:hanging="360"/>
      </w:pPr>
    </w:lvl>
    <w:lvl w:ilvl="7" w:tplc="04090019">
      <w:start w:val="1"/>
      <w:numFmt w:val="decimal"/>
      <w:lvlText w:val="%8."/>
      <w:lvlJc w:val="left"/>
      <w:pPr>
        <w:tabs>
          <w:tab w:val="num" w:pos="5160"/>
        </w:tabs>
        <w:ind w:left="5160" w:hanging="360"/>
      </w:pPr>
    </w:lvl>
    <w:lvl w:ilvl="8" w:tplc="0409001B">
      <w:start w:val="1"/>
      <w:numFmt w:val="decimal"/>
      <w:lvlText w:val="%9."/>
      <w:lvlJc w:val="left"/>
      <w:pPr>
        <w:tabs>
          <w:tab w:val="num" w:pos="5880"/>
        </w:tabs>
        <w:ind w:left="5880" w:hanging="360"/>
      </w:pPr>
    </w:lvl>
  </w:abstractNum>
  <w:abstractNum w:abstractNumId="93">
    <w:nsid w:val="709F52A2"/>
    <w:multiLevelType w:val="hybridMultilevel"/>
    <w:tmpl w:val="8B361B8C"/>
    <w:lvl w:ilvl="0" w:tplc="BA1C578A">
      <w:start w:val="6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12616FF"/>
    <w:multiLevelType w:val="hybridMultilevel"/>
    <w:tmpl w:val="C9123BFA"/>
    <w:lvl w:ilvl="0" w:tplc="F73E8BC8">
      <w:start w:val="4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3556325"/>
    <w:multiLevelType w:val="hybridMultilevel"/>
    <w:tmpl w:val="B15ED434"/>
    <w:lvl w:ilvl="0" w:tplc="D7580B10">
      <w:start w:val="1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5645E3A"/>
    <w:multiLevelType w:val="hybridMultilevel"/>
    <w:tmpl w:val="4518F5D2"/>
    <w:lvl w:ilvl="0" w:tplc="9D4E1F02">
      <w:start w:val="70"/>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7A53E38"/>
    <w:multiLevelType w:val="hybridMultilevel"/>
    <w:tmpl w:val="4BEAAA20"/>
    <w:lvl w:ilvl="0" w:tplc="43F8DB48">
      <w:start w:val="6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801238A"/>
    <w:multiLevelType w:val="hybridMultilevel"/>
    <w:tmpl w:val="2FCE3FA2"/>
    <w:lvl w:ilvl="0" w:tplc="242E6430">
      <w:start w:val="43"/>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9050A91"/>
    <w:multiLevelType w:val="hybridMultilevel"/>
    <w:tmpl w:val="FDB6B2C0"/>
    <w:lvl w:ilvl="0" w:tplc="6BF62C1E">
      <w:start w:val="5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BA254A9"/>
    <w:multiLevelType w:val="hybridMultilevel"/>
    <w:tmpl w:val="2C24DBE0"/>
    <w:lvl w:ilvl="0" w:tplc="A2762522">
      <w:start w:val="36"/>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C6F7ECB"/>
    <w:multiLevelType w:val="hybridMultilevel"/>
    <w:tmpl w:val="0CFEDE4C"/>
    <w:lvl w:ilvl="0" w:tplc="47062746">
      <w:start w:val="4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DA20D4B"/>
    <w:multiLevelType w:val="hybridMultilevel"/>
    <w:tmpl w:val="49D86D12"/>
    <w:lvl w:ilvl="0" w:tplc="A378A2E0">
      <w:start w:val="52"/>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F21577D"/>
    <w:multiLevelType w:val="hybridMultilevel"/>
    <w:tmpl w:val="60EEF01A"/>
    <w:lvl w:ilvl="0" w:tplc="B4106F8C">
      <w:start w:val="1"/>
      <w:numFmt w:val="taiwaneseCountingThousand"/>
      <w:lvlText w:val="%1、"/>
      <w:lvlJc w:val="left"/>
      <w:pPr>
        <w:tabs>
          <w:tab w:val="num" w:pos="567"/>
        </w:tabs>
        <w:ind w:left="567" w:hanging="567"/>
      </w:pPr>
      <w:rPr>
        <w:rFonts w:hAnsi="標楷體"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7FC903D0"/>
    <w:multiLevelType w:val="hybridMultilevel"/>
    <w:tmpl w:val="EB940DF0"/>
    <w:lvl w:ilvl="0" w:tplc="055E5936">
      <w:start w:val="65"/>
      <w:numFmt w:val="taiwaneseCountingThousand"/>
      <w:lvlText w:val="%1、"/>
      <w:lvlJc w:val="left"/>
      <w:pPr>
        <w:tabs>
          <w:tab w:val="num" w:pos="567"/>
        </w:tabs>
        <w:ind w:left="567" w:hanging="567"/>
      </w:pPr>
      <w:rPr>
        <w:rFonts w:hAns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2"/>
  </w:num>
  <w:num w:numId="2">
    <w:abstractNumId w:val="22"/>
  </w:num>
  <w:num w:numId="3">
    <w:abstractNumId w:val="52"/>
  </w:num>
  <w:num w:numId="4">
    <w:abstractNumId w:val="45"/>
  </w:num>
  <w:num w:numId="5">
    <w:abstractNumId w:val="53"/>
  </w:num>
  <w:num w:numId="6">
    <w:abstractNumId w:val="103"/>
  </w:num>
  <w:num w:numId="7">
    <w:abstractNumId w:val="47"/>
  </w:num>
  <w:num w:numId="8">
    <w:abstractNumId w:val="1"/>
  </w:num>
  <w:num w:numId="9">
    <w:abstractNumId w:val="88"/>
  </w:num>
  <w:num w:numId="10">
    <w:abstractNumId w:val="38"/>
  </w:num>
  <w:num w:numId="11">
    <w:abstractNumId w:val="61"/>
  </w:num>
  <w:num w:numId="12">
    <w:abstractNumId w:val="81"/>
  </w:num>
  <w:num w:numId="13">
    <w:abstractNumId w:val="96"/>
  </w:num>
  <w:num w:numId="14">
    <w:abstractNumId w:val="85"/>
  </w:num>
  <w:num w:numId="15">
    <w:abstractNumId w:val="63"/>
  </w:num>
  <w:num w:numId="16">
    <w:abstractNumId w:val="40"/>
  </w:num>
  <w:num w:numId="17">
    <w:abstractNumId w:val="87"/>
  </w:num>
  <w:num w:numId="18">
    <w:abstractNumId w:val="70"/>
  </w:num>
  <w:num w:numId="19">
    <w:abstractNumId w:val="15"/>
  </w:num>
  <w:num w:numId="20">
    <w:abstractNumId w:val="86"/>
  </w:num>
  <w:num w:numId="21">
    <w:abstractNumId w:val="95"/>
  </w:num>
  <w:num w:numId="22">
    <w:abstractNumId w:val="83"/>
  </w:num>
  <w:num w:numId="23">
    <w:abstractNumId w:val="19"/>
  </w:num>
  <w:num w:numId="24">
    <w:abstractNumId w:val="7"/>
  </w:num>
  <w:num w:numId="25">
    <w:abstractNumId w:val="48"/>
  </w:num>
  <w:num w:numId="26">
    <w:abstractNumId w:val="3"/>
  </w:num>
  <w:num w:numId="27">
    <w:abstractNumId w:val="28"/>
  </w:num>
  <w:num w:numId="28">
    <w:abstractNumId w:val="17"/>
  </w:num>
  <w:num w:numId="29">
    <w:abstractNumId w:val="16"/>
  </w:num>
  <w:num w:numId="30">
    <w:abstractNumId w:val="73"/>
  </w:num>
  <w:num w:numId="31">
    <w:abstractNumId w:val="50"/>
  </w:num>
  <w:num w:numId="32">
    <w:abstractNumId w:val="44"/>
  </w:num>
  <w:num w:numId="33">
    <w:abstractNumId w:val="41"/>
  </w:num>
  <w:num w:numId="34">
    <w:abstractNumId w:val="25"/>
  </w:num>
  <w:num w:numId="35">
    <w:abstractNumId w:val="0"/>
  </w:num>
  <w:num w:numId="36">
    <w:abstractNumId w:val="90"/>
  </w:num>
  <w:num w:numId="37">
    <w:abstractNumId w:val="74"/>
  </w:num>
  <w:num w:numId="38">
    <w:abstractNumId w:val="6"/>
  </w:num>
  <w:num w:numId="39">
    <w:abstractNumId w:val="30"/>
  </w:num>
  <w:num w:numId="40">
    <w:abstractNumId w:val="27"/>
  </w:num>
  <w:num w:numId="41">
    <w:abstractNumId w:val="43"/>
  </w:num>
  <w:num w:numId="42">
    <w:abstractNumId w:val="46"/>
  </w:num>
  <w:num w:numId="43">
    <w:abstractNumId w:val="58"/>
  </w:num>
  <w:num w:numId="44">
    <w:abstractNumId w:val="32"/>
  </w:num>
  <w:num w:numId="45">
    <w:abstractNumId w:val="4"/>
  </w:num>
  <w:num w:numId="46">
    <w:abstractNumId w:val="33"/>
  </w:num>
  <w:num w:numId="47">
    <w:abstractNumId w:val="100"/>
  </w:num>
  <w:num w:numId="48">
    <w:abstractNumId w:val="64"/>
  </w:num>
  <w:num w:numId="49">
    <w:abstractNumId w:val="82"/>
  </w:num>
  <w:num w:numId="50">
    <w:abstractNumId w:val="78"/>
  </w:num>
  <w:num w:numId="51">
    <w:abstractNumId w:val="62"/>
  </w:num>
  <w:num w:numId="52">
    <w:abstractNumId w:val="14"/>
  </w:num>
  <w:num w:numId="53">
    <w:abstractNumId w:val="79"/>
  </w:num>
  <w:num w:numId="54">
    <w:abstractNumId w:val="68"/>
  </w:num>
  <w:num w:numId="55">
    <w:abstractNumId w:val="65"/>
  </w:num>
  <w:num w:numId="56">
    <w:abstractNumId w:val="51"/>
  </w:num>
  <w:num w:numId="57">
    <w:abstractNumId w:val="5"/>
  </w:num>
  <w:num w:numId="58">
    <w:abstractNumId w:val="21"/>
  </w:num>
  <w:num w:numId="59">
    <w:abstractNumId w:val="67"/>
  </w:num>
  <w:num w:numId="60">
    <w:abstractNumId w:val="98"/>
  </w:num>
  <w:num w:numId="61">
    <w:abstractNumId w:val="101"/>
  </w:num>
  <w:num w:numId="62">
    <w:abstractNumId w:val="76"/>
  </w:num>
  <w:num w:numId="63">
    <w:abstractNumId w:val="94"/>
  </w:num>
  <w:num w:numId="64">
    <w:abstractNumId w:val="20"/>
  </w:num>
  <w:num w:numId="65">
    <w:abstractNumId w:val="37"/>
  </w:num>
  <w:num w:numId="66">
    <w:abstractNumId w:val="29"/>
  </w:num>
  <w:num w:numId="67">
    <w:abstractNumId w:val="35"/>
  </w:num>
  <w:num w:numId="68">
    <w:abstractNumId w:val="75"/>
  </w:num>
  <w:num w:numId="69">
    <w:abstractNumId w:val="55"/>
  </w:num>
  <w:num w:numId="70">
    <w:abstractNumId w:val="24"/>
  </w:num>
  <w:num w:numId="71">
    <w:abstractNumId w:val="54"/>
  </w:num>
  <w:num w:numId="72">
    <w:abstractNumId w:val="102"/>
  </w:num>
  <w:num w:numId="73">
    <w:abstractNumId w:val="13"/>
  </w:num>
  <w:num w:numId="74">
    <w:abstractNumId w:val="66"/>
  </w:num>
  <w:num w:numId="75">
    <w:abstractNumId w:val="59"/>
  </w:num>
  <w:num w:numId="76">
    <w:abstractNumId w:val="80"/>
  </w:num>
  <w:num w:numId="77">
    <w:abstractNumId w:val="99"/>
  </w:num>
  <w:num w:numId="78">
    <w:abstractNumId w:val="26"/>
  </w:num>
  <w:num w:numId="79">
    <w:abstractNumId w:val="91"/>
  </w:num>
  <w:num w:numId="80">
    <w:abstractNumId w:val="8"/>
  </w:num>
  <w:num w:numId="81">
    <w:abstractNumId w:val="34"/>
  </w:num>
  <w:num w:numId="82">
    <w:abstractNumId w:val="12"/>
  </w:num>
  <w:num w:numId="83">
    <w:abstractNumId w:val="42"/>
  </w:num>
  <w:num w:numId="84">
    <w:abstractNumId w:val="36"/>
  </w:num>
  <w:num w:numId="85">
    <w:abstractNumId w:val="18"/>
  </w:num>
  <w:num w:numId="86">
    <w:abstractNumId w:val="11"/>
  </w:num>
  <w:num w:numId="87">
    <w:abstractNumId w:val="93"/>
  </w:num>
  <w:num w:numId="88">
    <w:abstractNumId w:val="2"/>
  </w:num>
  <w:num w:numId="89">
    <w:abstractNumId w:val="23"/>
  </w:num>
  <w:num w:numId="90">
    <w:abstractNumId w:val="72"/>
  </w:num>
  <w:num w:numId="91">
    <w:abstractNumId w:val="60"/>
  </w:num>
  <w:num w:numId="92">
    <w:abstractNumId w:val="71"/>
  </w:num>
  <w:num w:numId="93">
    <w:abstractNumId w:val="39"/>
  </w:num>
  <w:num w:numId="94">
    <w:abstractNumId w:val="77"/>
  </w:num>
  <w:num w:numId="95">
    <w:abstractNumId w:val="104"/>
  </w:num>
  <w:num w:numId="96">
    <w:abstractNumId w:val="49"/>
  </w:num>
  <w:num w:numId="97">
    <w:abstractNumId w:val="97"/>
  </w:num>
  <w:num w:numId="98">
    <w:abstractNumId w:val="89"/>
  </w:num>
  <w:num w:numId="99">
    <w:abstractNumId w:val="56"/>
  </w:num>
  <w:num w:numId="100">
    <w:abstractNumId w:val="57"/>
  </w:num>
  <w:num w:numId="101">
    <w:abstractNumId w:val="69"/>
  </w:num>
  <w:num w:numId="102">
    <w:abstractNumId w:val="84"/>
  </w:num>
  <w:num w:numId="103">
    <w:abstractNumId w:val="9"/>
  </w:num>
  <w:num w:numId="104">
    <w:abstractNumId w:val="31"/>
  </w:num>
  <w:num w:numId="105">
    <w:abstractNumId w:val="1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D3"/>
    <w:rsid w:val="000005FC"/>
    <w:rsid w:val="00001853"/>
    <w:rsid w:val="00002D1B"/>
    <w:rsid w:val="0000396D"/>
    <w:rsid w:val="00007724"/>
    <w:rsid w:val="000106FC"/>
    <w:rsid w:val="0001070C"/>
    <w:rsid w:val="000125EE"/>
    <w:rsid w:val="00012778"/>
    <w:rsid w:val="00020B2B"/>
    <w:rsid w:val="00020CD0"/>
    <w:rsid w:val="00021E5E"/>
    <w:rsid w:val="00022371"/>
    <w:rsid w:val="00022C70"/>
    <w:rsid w:val="0003053D"/>
    <w:rsid w:val="0003111E"/>
    <w:rsid w:val="00032DF5"/>
    <w:rsid w:val="0003515A"/>
    <w:rsid w:val="000419A6"/>
    <w:rsid w:val="000434B0"/>
    <w:rsid w:val="00046413"/>
    <w:rsid w:val="00046D82"/>
    <w:rsid w:val="000501D8"/>
    <w:rsid w:val="00051AF2"/>
    <w:rsid w:val="00052E54"/>
    <w:rsid w:val="00053A77"/>
    <w:rsid w:val="000540BF"/>
    <w:rsid w:val="00054AED"/>
    <w:rsid w:val="00060F93"/>
    <w:rsid w:val="0006433E"/>
    <w:rsid w:val="000659DC"/>
    <w:rsid w:val="00066941"/>
    <w:rsid w:val="000700FF"/>
    <w:rsid w:val="00070C71"/>
    <w:rsid w:val="00081CF1"/>
    <w:rsid w:val="0008262A"/>
    <w:rsid w:val="00082AE1"/>
    <w:rsid w:val="00084B06"/>
    <w:rsid w:val="00085CED"/>
    <w:rsid w:val="00087595"/>
    <w:rsid w:val="0009642B"/>
    <w:rsid w:val="00096944"/>
    <w:rsid w:val="000A1833"/>
    <w:rsid w:val="000A339A"/>
    <w:rsid w:val="000A3F71"/>
    <w:rsid w:val="000A7482"/>
    <w:rsid w:val="000B0BDE"/>
    <w:rsid w:val="000B3813"/>
    <w:rsid w:val="000B3FD5"/>
    <w:rsid w:val="000B72FC"/>
    <w:rsid w:val="000D0D57"/>
    <w:rsid w:val="000D4987"/>
    <w:rsid w:val="000D5C94"/>
    <w:rsid w:val="000D6121"/>
    <w:rsid w:val="000E1845"/>
    <w:rsid w:val="000E5771"/>
    <w:rsid w:val="000E6A70"/>
    <w:rsid w:val="000E6DBF"/>
    <w:rsid w:val="000F2497"/>
    <w:rsid w:val="000F2DC9"/>
    <w:rsid w:val="000F5CED"/>
    <w:rsid w:val="000F6CF1"/>
    <w:rsid w:val="000F6E98"/>
    <w:rsid w:val="0010547D"/>
    <w:rsid w:val="00105DC7"/>
    <w:rsid w:val="0010659F"/>
    <w:rsid w:val="00106A6B"/>
    <w:rsid w:val="00111104"/>
    <w:rsid w:val="00111EF7"/>
    <w:rsid w:val="00115A8A"/>
    <w:rsid w:val="00116BCF"/>
    <w:rsid w:val="0011750E"/>
    <w:rsid w:val="00120BB9"/>
    <w:rsid w:val="00121AD9"/>
    <w:rsid w:val="001231F1"/>
    <w:rsid w:val="001262D7"/>
    <w:rsid w:val="001279A2"/>
    <w:rsid w:val="00131991"/>
    <w:rsid w:val="00132406"/>
    <w:rsid w:val="001335AE"/>
    <w:rsid w:val="00134502"/>
    <w:rsid w:val="00140BC9"/>
    <w:rsid w:val="001412C0"/>
    <w:rsid w:val="0014253C"/>
    <w:rsid w:val="00143484"/>
    <w:rsid w:val="00144876"/>
    <w:rsid w:val="001473B2"/>
    <w:rsid w:val="00152AF9"/>
    <w:rsid w:val="00164519"/>
    <w:rsid w:val="0016623B"/>
    <w:rsid w:val="0017369E"/>
    <w:rsid w:val="001747CB"/>
    <w:rsid w:val="0018082C"/>
    <w:rsid w:val="00180FDD"/>
    <w:rsid w:val="00182094"/>
    <w:rsid w:val="0018659D"/>
    <w:rsid w:val="0018758F"/>
    <w:rsid w:val="00187DDE"/>
    <w:rsid w:val="00193609"/>
    <w:rsid w:val="00194E15"/>
    <w:rsid w:val="001A0A8D"/>
    <w:rsid w:val="001A142F"/>
    <w:rsid w:val="001A4F60"/>
    <w:rsid w:val="001A5DCC"/>
    <w:rsid w:val="001A6790"/>
    <w:rsid w:val="001B2D72"/>
    <w:rsid w:val="001B35AB"/>
    <w:rsid w:val="001B671F"/>
    <w:rsid w:val="001C50B6"/>
    <w:rsid w:val="001C5554"/>
    <w:rsid w:val="001C71CF"/>
    <w:rsid w:val="001C7B18"/>
    <w:rsid w:val="001D27A4"/>
    <w:rsid w:val="001D5B2B"/>
    <w:rsid w:val="001E1195"/>
    <w:rsid w:val="001E3C86"/>
    <w:rsid w:val="001E4534"/>
    <w:rsid w:val="001E7608"/>
    <w:rsid w:val="001F0917"/>
    <w:rsid w:val="001F1D00"/>
    <w:rsid w:val="001F5156"/>
    <w:rsid w:val="001F681C"/>
    <w:rsid w:val="002009A8"/>
    <w:rsid w:val="002105E3"/>
    <w:rsid w:val="00215677"/>
    <w:rsid w:val="00223E9F"/>
    <w:rsid w:val="002240D7"/>
    <w:rsid w:val="00224A76"/>
    <w:rsid w:val="00230496"/>
    <w:rsid w:val="00230CEE"/>
    <w:rsid w:val="0023480D"/>
    <w:rsid w:val="0023787F"/>
    <w:rsid w:val="00241C6D"/>
    <w:rsid w:val="00241DC2"/>
    <w:rsid w:val="00242D92"/>
    <w:rsid w:val="002452D5"/>
    <w:rsid w:val="002500A3"/>
    <w:rsid w:val="002524F4"/>
    <w:rsid w:val="00256C1A"/>
    <w:rsid w:val="00261115"/>
    <w:rsid w:val="00261294"/>
    <w:rsid w:val="00263D88"/>
    <w:rsid w:val="00277BDC"/>
    <w:rsid w:val="002840E9"/>
    <w:rsid w:val="00284179"/>
    <w:rsid w:val="00284A9E"/>
    <w:rsid w:val="00285600"/>
    <w:rsid w:val="00287868"/>
    <w:rsid w:val="00290C20"/>
    <w:rsid w:val="00291799"/>
    <w:rsid w:val="00296121"/>
    <w:rsid w:val="002A022A"/>
    <w:rsid w:val="002A1635"/>
    <w:rsid w:val="002A1B38"/>
    <w:rsid w:val="002A5027"/>
    <w:rsid w:val="002A5802"/>
    <w:rsid w:val="002A6A8F"/>
    <w:rsid w:val="002C0839"/>
    <w:rsid w:val="002C0979"/>
    <w:rsid w:val="002C306D"/>
    <w:rsid w:val="002C3C28"/>
    <w:rsid w:val="002C6E67"/>
    <w:rsid w:val="002D1E2E"/>
    <w:rsid w:val="002D22DB"/>
    <w:rsid w:val="002D3863"/>
    <w:rsid w:val="002D4D8D"/>
    <w:rsid w:val="002D5F2A"/>
    <w:rsid w:val="002E2406"/>
    <w:rsid w:val="002E34C7"/>
    <w:rsid w:val="002E3606"/>
    <w:rsid w:val="002E6AD2"/>
    <w:rsid w:val="002F2468"/>
    <w:rsid w:val="00300877"/>
    <w:rsid w:val="00300D0A"/>
    <w:rsid w:val="003028BA"/>
    <w:rsid w:val="00306B3A"/>
    <w:rsid w:val="00306D2F"/>
    <w:rsid w:val="00312273"/>
    <w:rsid w:val="00313CE7"/>
    <w:rsid w:val="00314196"/>
    <w:rsid w:val="003245D7"/>
    <w:rsid w:val="003267F1"/>
    <w:rsid w:val="00326FF6"/>
    <w:rsid w:val="0032790B"/>
    <w:rsid w:val="00330EB4"/>
    <w:rsid w:val="003356D3"/>
    <w:rsid w:val="00341380"/>
    <w:rsid w:val="00343004"/>
    <w:rsid w:val="00351BE9"/>
    <w:rsid w:val="003527BB"/>
    <w:rsid w:val="00353655"/>
    <w:rsid w:val="00354A53"/>
    <w:rsid w:val="00360BD8"/>
    <w:rsid w:val="00361ED6"/>
    <w:rsid w:val="003718C4"/>
    <w:rsid w:val="00372EEE"/>
    <w:rsid w:val="003760FA"/>
    <w:rsid w:val="00377714"/>
    <w:rsid w:val="00377D37"/>
    <w:rsid w:val="003810EE"/>
    <w:rsid w:val="003841FE"/>
    <w:rsid w:val="00385133"/>
    <w:rsid w:val="00385E3C"/>
    <w:rsid w:val="00386116"/>
    <w:rsid w:val="00386AFB"/>
    <w:rsid w:val="00390070"/>
    <w:rsid w:val="00391DAB"/>
    <w:rsid w:val="00393DC1"/>
    <w:rsid w:val="003A478C"/>
    <w:rsid w:val="003A68AE"/>
    <w:rsid w:val="003B0EBB"/>
    <w:rsid w:val="003C2297"/>
    <w:rsid w:val="003C3FDD"/>
    <w:rsid w:val="003C7A1E"/>
    <w:rsid w:val="003E0677"/>
    <w:rsid w:val="003E255B"/>
    <w:rsid w:val="003E6418"/>
    <w:rsid w:val="003E6F4F"/>
    <w:rsid w:val="003E7140"/>
    <w:rsid w:val="003F303E"/>
    <w:rsid w:val="003F354F"/>
    <w:rsid w:val="004014D4"/>
    <w:rsid w:val="00412C9F"/>
    <w:rsid w:val="00412D6B"/>
    <w:rsid w:val="004149B8"/>
    <w:rsid w:val="0041734E"/>
    <w:rsid w:val="00417F90"/>
    <w:rsid w:val="004260BB"/>
    <w:rsid w:val="00427AE8"/>
    <w:rsid w:val="0043041F"/>
    <w:rsid w:val="00431F05"/>
    <w:rsid w:val="00432AB5"/>
    <w:rsid w:val="00436E46"/>
    <w:rsid w:val="00442154"/>
    <w:rsid w:val="0044225D"/>
    <w:rsid w:val="00443C7A"/>
    <w:rsid w:val="00445682"/>
    <w:rsid w:val="004456B8"/>
    <w:rsid w:val="00447A4D"/>
    <w:rsid w:val="00452150"/>
    <w:rsid w:val="00452988"/>
    <w:rsid w:val="00457859"/>
    <w:rsid w:val="00462238"/>
    <w:rsid w:val="0046498D"/>
    <w:rsid w:val="00466758"/>
    <w:rsid w:val="00472E21"/>
    <w:rsid w:val="0047409C"/>
    <w:rsid w:val="0048014E"/>
    <w:rsid w:val="004804F1"/>
    <w:rsid w:val="00481479"/>
    <w:rsid w:val="0048347C"/>
    <w:rsid w:val="00487FC7"/>
    <w:rsid w:val="004960B0"/>
    <w:rsid w:val="00496E3F"/>
    <w:rsid w:val="004A1DE2"/>
    <w:rsid w:val="004A3033"/>
    <w:rsid w:val="004A6256"/>
    <w:rsid w:val="004A67BE"/>
    <w:rsid w:val="004B27CF"/>
    <w:rsid w:val="004B3034"/>
    <w:rsid w:val="004B61A0"/>
    <w:rsid w:val="004C2E39"/>
    <w:rsid w:val="004C303A"/>
    <w:rsid w:val="004D386A"/>
    <w:rsid w:val="004D3E6C"/>
    <w:rsid w:val="004D42B5"/>
    <w:rsid w:val="004D4B19"/>
    <w:rsid w:val="004D6439"/>
    <w:rsid w:val="004D76CB"/>
    <w:rsid w:val="004E0AFC"/>
    <w:rsid w:val="004E1955"/>
    <w:rsid w:val="004E2A8C"/>
    <w:rsid w:val="004E3808"/>
    <w:rsid w:val="004E5890"/>
    <w:rsid w:val="004F395A"/>
    <w:rsid w:val="004F3CA2"/>
    <w:rsid w:val="004F4B07"/>
    <w:rsid w:val="004F63F8"/>
    <w:rsid w:val="0050030F"/>
    <w:rsid w:val="00504BAC"/>
    <w:rsid w:val="005060E4"/>
    <w:rsid w:val="005062F7"/>
    <w:rsid w:val="0050794D"/>
    <w:rsid w:val="00515B22"/>
    <w:rsid w:val="00517A91"/>
    <w:rsid w:val="005202FA"/>
    <w:rsid w:val="00520CD8"/>
    <w:rsid w:val="00523B5C"/>
    <w:rsid w:val="00523E05"/>
    <w:rsid w:val="0052489A"/>
    <w:rsid w:val="005252BD"/>
    <w:rsid w:val="0053022F"/>
    <w:rsid w:val="0053172D"/>
    <w:rsid w:val="00531979"/>
    <w:rsid w:val="0054116E"/>
    <w:rsid w:val="00547DAF"/>
    <w:rsid w:val="005567FC"/>
    <w:rsid w:val="00557397"/>
    <w:rsid w:val="00563E5B"/>
    <w:rsid w:val="00564A80"/>
    <w:rsid w:val="00564C30"/>
    <w:rsid w:val="00565352"/>
    <w:rsid w:val="00570F57"/>
    <w:rsid w:val="0057251E"/>
    <w:rsid w:val="00574278"/>
    <w:rsid w:val="00580A6D"/>
    <w:rsid w:val="00586089"/>
    <w:rsid w:val="0059093C"/>
    <w:rsid w:val="00594866"/>
    <w:rsid w:val="0059622A"/>
    <w:rsid w:val="005967BD"/>
    <w:rsid w:val="005973C9"/>
    <w:rsid w:val="005A0265"/>
    <w:rsid w:val="005A1316"/>
    <w:rsid w:val="005A26FF"/>
    <w:rsid w:val="005A3C36"/>
    <w:rsid w:val="005A6A37"/>
    <w:rsid w:val="005A73DE"/>
    <w:rsid w:val="005A7512"/>
    <w:rsid w:val="005B0DD2"/>
    <w:rsid w:val="005B27ED"/>
    <w:rsid w:val="005B2805"/>
    <w:rsid w:val="005C280D"/>
    <w:rsid w:val="005C3252"/>
    <w:rsid w:val="005C3426"/>
    <w:rsid w:val="005C366D"/>
    <w:rsid w:val="005C46AE"/>
    <w:rsid w:val="005C58C8"/>
    <w:rsid w:val="005C63F7"/>
    <w:rsid w:val="005D3688"/>
    <w:rsid w:val="005D38DB"/>
    <w:rsid w:val="005D51E0"/>
    <w:rsid w:val="005D568D"/>
    <w:rsid w:val="005D7FD7"/>
    <w:rsid w:val="005E045E"/>
    <w:rsid w:val="005E21A5"/>
    <w:rsid w:val="005E49D6"/>
    <w:rsid w:val="005E6AFD"/>
    <w:rsid w:val="005F667F"/>
    <w:rsid w:val="00601DB7"/>
    <w:rsid w:val="00601E1A"/>
    <w:rsid w:val="006051EF"/>
    <w:rsid w:val="0061107A"/>
    <w:rsid w:val="00617AA5"/>
    <w:rsid w:val="00626A1A"/>
    <w:rsid w:val="00631916"/>
    <w:rsid w:val="00636375"/>
    <w:rsid w:val="00640CAA"/>
    <w:rsid w:val="006425A4"/>
    <w:rsid w:val="006426AA"/>
    <w:rsid w:val="00645FB5"/>
    <w:rsid w:val="00651D17"/>
    <w:rsid w:val="00652509"/>
    <w:rsid w:val="00652B87"/>
    <w:rsid w:val="00653DA8"/>
    <w:rsid w:val="00654F29"/>
    <w:rsid w:val="00657882"/>
    <w:rsid w:val="00657CA4"/>
    <w:rsid w:val="006639C5"/>
    <w:rsid w:val="00670791"/>
    <w:rsid w:val="00671ED0"/>
    <w:rsid w:val="00671ED7"/>
    <w:rsid w:val="0067493C"/>
    <w:rsid w:val="00676BC3"/>
    <w:rsid w:val="0068106D"/>
    <w:rsid w:val="00681468"/>
    <w:rsid w:val="006824C2"/>
    <w:rsid w:val="00683505"/>
    <w:rsid w:val="00684355"/>
    <w:rsid w:val="00684A8F"/>
    <w:rsid w:val="00684AD2"/>
    <w:rsid w:val="00692DD4"/>
    <w:rsid w:val="0069361A"/>
    <w:rsid w:val="006950E3"/>
    <w:rsid w:val="00696B02"/>
    <w:rsid w:val="006A0146"/>
    <w:rsid w:val="006A16AD"/>
    <w:rsid w:val="006A2AD5"/>
    <w:rsid w:val="006A4405"/>
    <w:rsid w:val="006B1B5D"/>
    <w:rsid w:val="006C08B7"/>
    <w:rsid w:val="006C1DC4"/>
    <w:rsid w:val="006C298A"/>
    <w:rsid w:val="006C4E34"/>
    <w:rsid w:val="006C592E"/>
    <w:rsid w:val="006D0248"/>
    <w:rsid w:val="006D2DA9"/>
    <w:rsid w:val="006D3EA0"/>
    <w:rsid w:val="006D60C9"/>
    <w:rsid w:val="006E588C"/>
    <w:rsid w:val="006E7C35"/>
    <w:rsid w:val="006F2F11"/>
    <w:rsid w:val="006F38DD"/>
    <w:rsid w:val="006F4BA6"/>
    <w:rsid w:val="007010E2"/>
    <w:rsid w:val="00702A7E"/>
    <w:rsid w:val="00703F85"/>
    <w:rsid w:val="00706569"/>
    <w:rsid w:val="00721F73"/>
    <w:rsid w:val="00723650"/>
    <w:rsid w:val="00731501"/>
    <w:rsid w:val="007331F6"/>
    <w:rsid w:val="00736407"/>
    <w:rsid w:val="0074220B"/>
    <w:rsid w:val="007426FC"/>
    <w:rsid w:val="007446FF"/>
    <w:rsid w:val="007456B8"/>
    <w:rsid w:val="00750516"/>
    <w:rsid w:val="0075057D"/>
    <w:rsid w:val="00751F31"/>
    <w:rsid w:val="007564C4"/>
    <w:rsid w:val="007575FC"/>
    <w:rsid w:val="00764DBD"/>
    <w:rsid w:val="007656B8"/>
    <w:rsid w:val="007657D2"/>
    <w:rsid w:val="00765BB9"/>
    <w:rsid w:val="00770036"/>
    <w:rsid w:val="007716CA"/>
    <w:rsid w:val="00771C1A"/>
    <w:rsid w:val="007759AE"/>
    <w:rsid w:val="007778B5"/>
    <w:rsid w:val="0078574E"/>
    <w:rsid w:val="007860B5"/>
    <w:rsid w:val="0078715E"/>
    <w:rsid w:val="00790593"/>
    <w:rsid w:val="00790AAC"/>
    <w:rsid w:val="00790B4C"/>
    <w:rsid w:val="00791DBD"/>
    <w:rsid w:val="00792125"/>
    <w:rsid w:val="00792A77"/>
    <w:rsid w:val="00793DDB"/>
    <w:rsid w:val="00795533"/>
    <w:rsid w:val="00795FF7"/>
    <w:rsid w:val="007A479A"/>
    <w:rsid w:val="007B203C"/>
    <w:rsid w:val="007B2287"/>
    <w:rsid w:val="007C370A"/>
    <w:rsid w:val="007C7A4D"/>
    <w:rsid w:val="007D0F25"/>
    <w:rsid w:val="007D1022"/>
    <w:rsid w:val="007D41D6"/>
    <w:rsid w:val="007D46BB"/>
    <w:rsid w:val="007D631F"/>
    <w:rsid w:val="007E0A46"/>
    <w:rsid w:val="007E14CA"/>
    <w:rsid w:val="007E1A6A"/>
    <w:rsid w:val="007E2D11"/>
    <w:rsid w:val="007E3C49"/>
    <w:rsid w:val="007E66C8"/>
    <w:rsid w:val="007E6E86"/>
    <w:rsid w:val="007F5B26"/>
    <w:rsid w:val="007F76C2"/>
    <w:rsid w:val="008002CD"/>
    <w:rsid w:val="00801B64"/>
    <w:rsid w:val="008020A5"/>
    <w:rsid w:val="00806946"/>
    <w:rsid w:val="00806A85"/>
    <w:rsid w:val="00821845"/>
    <w:rsid w:val="00822537"/>
    <w:rsid w:val="008247F5"/>
    <w:rsid w:val="00826365"/>
    <w:rsid w:val="00826DC7"/>
    <w:rsid w:val="00830020"/>
    <w:rsid w:val="008301BD"/>
    <w:rsid w:val="0083458F"/>
    <w:rsid w:val="00841748"/>
    <w:rsid w:val="00843408"/>
    <w:rsid w:val="00845120"/>
    <w:rsid w:val="0084530E"/>
    <w:rsid w:val="008463D6"/>
    <w:rsid w:val="00851000"/>
    <w:rsid w:val="0085244B"/>
    <w:rsid w:val="00855F5F"/>
    <w:rsid w:val="0085651A"/>
    <w:rsid w:val="00864080"/>
    <w:rsid w:val="00864C44"/>
    <w:rsid w:val="008715DA"/>
    <w:rsid w:val="00872392"/>
    <w:rsid w:val="0087443B"/>
    <w:rsid w:val="0088127A"/>
    <w:rsid w:val="008845ED"/>
    <w:rsid w:val="0088743A"/>
    <w:rsid w:val="00887732"/>
    <w:rsid w:val="00887DAA"/>
    <w:rsid w:val="00894958"/>
    <w:rsid w:val="008966BA"/>
    <w:rsid w:val="008A07B3"/>
    <w:rsid w:val="008A1642"/>
    <w:rsid w:val="008A2A82"/>
    <w:rsid w:val="008A5918"/>
    <w:rsid w:val="008B15E9"/>
    <w:rsid w:val="008B2C8B"/>
    <w:rsid w:val="008B49D5"/>
    <w:rsid w:val="008B7F3D"/>
    <w:rsid w:val="008C07D7"/>
    <w:rsid w:val="008C4B5A"/>
    <w:rsid w:val="008D3D62"/>
    <w:rsid w:val="008E0370"/>
    <w:rsid w:val="008E062C"/>
    <w:rsid w:val="008E4CBB"/>
    <w:rsid w:val="008E6F79"/>
    <w:rsid w:val="008E77AA"/>
    <w:rsid w:val="008E7942"/>
    <w:rsid w:val="008F2D36"/>
    <w:rsid w:val="008F3B73"/>
    <w:rsid w:val="008F6096"/>
    <w:rsid w:val="008F633B"/>
    <w:rsid w:val="008F70AD"/>
    <w:rsid w:val="00904833"/>
    <w:rsid w:val="009065D3"/>
    <w:rsid w:val="009079CE"/>
    <w:rsid w:val="0091031E"/>
    <w:rsid w:val="009112F6"/>
    <w:rsid w:val="00912528"/>
    <w:rsid w:val="0091452B"/>
    <w:rsid w:val="00915BCC"/>
    <w:rsid w:val="0092131A"/>
    <w:rsid w:val="00926046"/>
    <w:rsid w:val="00935197"/>
    <w:rsid w:val="00935552"/>
    <w:rsid w:val="00940E28"/>
    <w:rsid w:val="00945105"/>
    <w:rsid w:val="00945209"/>
    <w:rsid w:val="0094582F"/>
    <w:rsid w:val="00950C5F"/>
    <w:rsid w:val="00951DE4"/>
    <w:rsid w:val="009520B9"/>
    <w:rsid w:val="009528C3"/>
    <w:rsid w:val="0095563D"/>
    <w:rsid w:val="00957281"/>
    <w:rsid w:val="00960675"/>
    <w:rsid w:val="00962F58"/>
    <w:rsid w:val="00964557"/>
    <w:rsid w:val="009674C1"/>
    <w:rsid w:val="009707E6"/>
    <w:rsid w:val="00971AFE"/>
    <w:rsid w:val="0097300B"/>
    <w:rsid w:val="0097693F"/>
    <w:rsid w:val="009778B0"/>
    <w:rsid w:val="0098130E"/>
    <w:rsid w:val="00981515"/>
    <w:rsid w:val="00985B50"/>
    <w:rsid w:val="00985EDF"/>
    <w:rsid w:val="009938DE"/>
    <w:rsid w:val="009958D3"/>
    <w:rsid w:val="0099638D"/>
    <w:rsid w:val="009A0973"/>
    <w:rsid w:val="009A1671"/>
    <w:rsid w:val="009A18F9"/>
    <w:rsid w:val="009A2E35"/>
    <w:rsid w:val="009A598D"/>
    <w:rsid w:val="009A65DD"/>
    <w:rsid w:val="009B23C9"/>
    <w:rsid w:val="009B4545"/>
    <w:rsid w:val="009C285B"/>
    <w:rsid w:val="009C29BD"/>
    <w:rsid w:val="009C2DAF"/>
    <w:rsid w:val="009C3ED1"/>
    <w:rsid w:val="009C4CEC"/>
    <w:rsid w:val="009D1173"/>
    <w:rsid w:val="009D2EDA"/>
    <w:rsid w:val="009E1885"/>
    <w:rsid w:val="009E37BF"/>
    <w:rsid w:val="009F05FB"/>
    <w:rsid w:val="009F6EDC"/>
    <w:rsid w:val="00A02261"/>
    <w:rsid w:val="00A02F83"/>
    <w:rsid w:val="00A03504"/>
    <w:rsid w:val="00A043CA"/>
    <w:rsid w:val="00A1363A"/>
    <w:rsid w:val="00A172ED"/>
    <w:rsid w:val="00A204D5"/>
    <w:rsid w:val="00A240A6"/>
    <w:rsid w:val="00A249EB"/>
    <w:rsid w:val="00A25AE9"/>
    <w:rsid w:val="00A40C74"/>
    <w:rsid w:val="00A41F8F"/>
    <w:rsid w:val="00A43BB2"/>
    <w:rsid w:val="00A5181A"/>
    <w:rsid w:val="00A52254"/>
    <w:rsid w:val="00A66690"/>
    <w:rsid w:val="00A67C9D"/>
    <w:rsid w:val="00A7519B"/>
    <w:rsid w:val="00A838D8"/>
    <w:rsid w:val="00A84578"/>
    <w:rsid w:val="00A91B63"/>
    <w:rsid w:val="00A91D54"/>
    <w:rsid w:val="00A926D8"/>
    <w:rsid w:val="00A93961"/>
    <w:rsid w:val="00A94534"/>
    <w:rsid w:val="00AA316A"/>
    <w:rsid w:val="00AA529F"/>
    <w:rsid w:val="00AA7543"/>
    <w:rsid w:val="00AB1CEF"/>
    <w:rsid w:val="00AB1FC8"/>
    <w:rsid w:val="00AB477F"/>
    <w:rsid w:val="00AB7B90"/>
    <w:rsid w:val="00AC6080"/>
    <w:rsid w:val="00AC6A42"/>
    <w:rsid w:val="00AD2825"/>
    <w:rsid w:val="00AD39B1"/>
    <w:rsid w:val="00AE165E"/>
    <w:rsid w:val="00AE2B6E"/>
    <w:rsid w:val="00AE41C9"/>
    <w:rsid w:val="00AE450A"/>
    <w:rsid w:val="00AE5E7B"/>
    <w:rsid w:val="00AF081E"/>
    <w:rsid w:val="00AF23F2"/>
    <w:rsid w:val="00AF315D"/>
    <w:rsid w:val="00AF43D0"/>
    <w:rsid w:val="00AF4845"/>
    <w:rsid w:val="00AF60D1"/>
    <w:rsid w:val="00AF60FB"/>
    <w:rsid w:val="00AF61EC"/>
    <w:rsid w:val="00B02A82"/>
    <w:rsid w:val="00B02BB2"/>
    <w:rsid w:val="00B05138"/>
    <w:rsid w:val="00B05D50"/>
    <w:rsid w:val="00B063B4"/>
    <w:rsid w:val="00B06568"/>
    <w:rsid w:val="00B13B5F"/>
    <w:rsid w:val="00B15884"/>
    <w:rsid w:val="00B166B8"/>
    <w:rsid w:val="00B16FBD"/>
    <w:rsid w:val="00B1711D"/>
    <w:rsid w:val="00B20E3D"/>
    <w:rsid w:val="00B2160C"/>
    <w:rsid w:val="00B21C3E"/>
    <w:rsid w:val="00B24E37"/>
    <w:rsid w:val="00B2668D"/>
    <w:rsid w:val="00B26C8C"/>
    <w:rsid w:val="00B34B98"/>
    <w:rsid w:val="00B35189"/>
    <w:rsid w:val="00B3674F"/>
    <w:rsid w:val="00B40C71"/>
    <w:rsid w:val="00B439CC"/>
    <w:rsid w:val="00B46AAC"/>
    <w:rsid w:val="00B511E2"/>
    <w:rsid w:val="00B55A4F"/>
    <w:rsid w:val="00B72F12"/>
    <w:rsid w:val="00B749EF"/>
    <w:rsid w:val="00B77F6F"/>
    <w:rsid w:val="00B801DE"/>
    <w:rsid w:val="00B81CE3"/>
    <w:rsid w:val="00B81DDB"/>
    <w:rsid w:val="00B95A03"/>
    <w:rsid w:val="00B968B4"/>
    <w:rsid w:val="00BA270F"/>
    <w:rsid w:val="00BA7715"/>
    <w:rsid w:val="00BB1F9D"/>
    <w:rsid w:val="00BB2D47"/>
    <w:rsid w:val="00BB2F2E"/>
    <w:rsid w:val="00BC28AE"/>
    <w:rsid w:val="00BC3C10"/>
    <w:rsid w:val="00BC5870"/>
    <w:rsid w:val="00BC7657"/>
    <w:rsid w:val="00BD2C29"/>
    <w:rsid w:val="00BD403B"/>
    <w:rsid w:val="00BD5392"/>
    <w:rsid w:val="00BD58DF"/>
    <w:rsid w:val="00BD62A6"/>
    <w:rsid w:val="00BE13CF"/>
    <w:rsid w:val="00BE155B"/>
    <w:rsid w:val="00BE17B0"/>
    <w:rsid w:val="00BE6074"/>
    <w:rsid w:val="00BE65DF"/>
    <w:rsid w:val="00BE79E6"/>
    <w:rsid w:val="00BF09D1"/>
    <w:rsid w:val="00BF4160"/>
    <w:rsid w:val="00C0086B"/>
    <w:rsid w:val="00C032E0"/>
    <w:rsid w:val="00C03835"/>
    <w:rsid w:val="00C140DB"/>
    <w:rsid w:val="00C14EFB"/>
    <w:rsid w:val="00C154D5"/>
    <w:rsid w:val="00C174C5"/>
    <w:rsid w:val="00C2287F"/>
    <w:rsid w:val="00C242A1"/>
    <w:rsid w:val="00C2641B"/>
    <w:rsid w:val="00C26720"/>
    <w:rsid w:val="00C34A69"/>
    <w:rsid w:val="00C37382"/>
    <w:rsid w:val="00C41A32"/>
    <w:rsid w:val="00C424B4"/>
    <w:rsid w:val="00C46DB0"/>
    <w:rsid w:val="00C50220"/>
    <w:rsid w:val="00C507F8"/>
    <w:rsid w:val="00C508AC"/>
    <w:rsid w:val="00C5120F"/>
    <w:rsid w:val="00C531AF"/>
    <w:rsid w:val="00C53630"/>
    <w:rsid w:val="00C53764"/>
    <w:rsid w:val="00C53782"/>
    <w:rsid w:val="00C55A40"/>
    <w:rsid w:val="00C60F9D"/>
    <w:rsid w:val="00C67EEF"/>
    <w:rsid w:val="00C71744"/>
    <w:rsid w:val="00C71E46"/>
    <w:rsid w:val="00C72F8F"/>
    <w:rsid w:val="00C76A81"/>
    <w:rsid w:val="00C80016"/>
    <w:rsid w:val="00C802B8"/>
    <w:rsid w:val="00C80D70"/>
    <w:rsid w:val="00C8182E"/>
    <w:rsid w:val="00C855AD"/>
    <w:rsid w:val="00C87413"/>
    <w:rsid w:val="00C920C0"/>
    <w:rsid w:val="00C92E14"/>
    <w:rsid w:val="00C92EFE"/>
    <w:rsid w:val="00C9376D"/>
    <w:rsid w:val="00C95E36"/>
    <w:rsid w:val="00C963DA"/>
    <w:rsid w:val="00C97F5D"/>
    <w:rsid w:val="00CA0A43"/>
    <w:rsid w:val="00CA5AFE"/>
    <w:rsid w:val="00CA5C45"/>
    <w:rsid w:val="00CA5E31"/>
    <w:rsid w:val="00CA7B15"/>
    <w:rsid w:val="00CB2281"/>
    <w:rsid w:val="00CB7291"/>
    <w:rsid w:val="00CC12E0"/>
    <w:rsid w:val="00CC23AC"/>
    <w:rsid w:val="00CC4B0A"/>
    <w:rsid w:val="00CD02EB"/>
    <w:rsid w:val="00CD0F05"/>
    <w:rsid w:val="00CD5409"/>
    <w:rsid w:val="00CD75D7"/>
    <w:rsid w:val="00CD762B"/>
    <w:rsid w:val="00CD7DF0"/>
    <w:rsid w:val="00CE1DFC"/>
    <w:rsid w:val="00CF470F"/>
    <w:rsid w:val="00CF5A20"/>
    <w:rsid w:val="00CF70CE"/>
    <w:rsid w:val="00D03D73"/>
    <w:rsid w:val="00D06187"/>
    <w:rsid w:val="00D1098A"/>
    <w:rsid w:val="00D14127"/>
    <w:rsid w:val="00D15E87"/>
    <w:rsid w:val="00D1777F"/>
    <w:rsid w:val="00D25709"/>
    <w:rsid w:val="00D25837"/>
    <w:rsid w:val="00D26669"/>
    <w:rsid w:val="00D2693E"/>
    <w:rsid w:val="00D26F40"/>
    <w:rsid w:val="00D27957"/>
    <w:rsid w:val="00D334B8"/>
    <w:rsid w:val="00D33719"/>
    <w:rsid w:val="00D34DAB"/>
    <w:rsid w:val="00D36263"/>
    <w:rsid w:val="00D375A2"/>
    <w:rsid w:val="00D44D1F"/>
    <w:rsid w:val="00D46FC1"/>
    <w:rsid w:val="00D47A51"/>
    <w:rsid w:val="00D50BE9"/>
    <w:rsid w:val="00D53910"/>
    <w:rsid w:val="00D5410D"/>
    <w:rsid w:val="00D628C2"/>
    <w:rsid w:val="00D632F9"/>
    <w:rsid w:val="00D64219"/>
    <w:rsid w:val="00D66081"/>
    <w:rsid w:val="00D70AAE"/>
    <w:rsid w:val="00D73F83"/>
    <w:rsid w:val="00D7560F"/>
    <w:rsid w:val="00D83AF2"/>
    <w:rsid w:val="00D864EE"/>
    <w:rsid w:val="00D93F13"/>
    <w:rsid w:val="00D94ED3"/>
    <w:rsid w:val="00D95016"/>
    <w:rsid w:val="00D952D0"/>
    <w:rsid w:val="00DA1475"/>
    <w:rsid w:val="00DA16DB"/>
    <w:rsid w:val="00DA1B5B"/>
    <w:rsid w:val="00DA24C0"/>
    <w:rsid w:val="00DA30CD"/>
    <w:rsid w:val="00DA3AAB"/>
    <w:rsid w:val="00DA3DCD"/>
    <w:rsid w:val="00DA6EF5"/>
    <w:rsid w:val="00DB025D"/>
    <w:rsid w:val="00DB0656"/>
    <w:rsid w:val="00DB109E"/>
    <w:rsid w:val="00DB27D4"/>
    <w:rsid w:val="00DB6E5A"/>
    <w:rsid w:val="00DC0C3B"/>
    <w:rsid w:val="00DC1BAF"/>
    <w:rsid w:val="00DC4B18"/>
    <w:rsid w:val="00DC607D"/>
    <w:rsid w:val="00DC6ED7"/>
    <w:rsid w:val="00DD1807"/>
    <w:rsid w:val="00DD19B4"/>
    <w:rsid w:val="00DD4992"/>
    <w:rsid w:val="00DF3469"/>
    <w:rsid w:val="00DF34D1"/>
    <w:rsid w:val="00DF69FA"/>
    <w:rsid w:val="00E001DA"/>
    <w:rsid w:val="00E01844"/>
    <w:rsid w:val="00E01DBE"/>
    <w:rsid w:val="00E05A27"/>
    <w:rsid w:val="00E06D53"/>
    <w:rsid w:val="00E0738B"/>
    <w:rsid w:val="00E1690F"/>
    <w:rsid w:val="00E17122"/>
    <w:rsid w:val="00E178DA"/>
    <w:rsid w:val="00E2028C"/>
    <w:rsid w:val="00E22593"/>
    <w:rsid w:val="00E2462C"/>
    <w:rsid w:val="00E2467D"/>
    <w:rsid w:val="00E278E0"/>
    <w:rsid w:val="00E312C1"/>
    <w:rsid w:val="00E352F0"/>
    <w:rsid w:val="00E40650"/>
    <w:rsid w:val="00E412F9"/>
    <w:rsid w:val="00E4450A"/>
    <w:rsid w:val="00E54C44"/>
    <w:rsid w:val="00E55BCC"/>
    <w:rsid w:val="00E55CE9"/>
    <w:rsid w:val="00E61B76"/>
    <w:rsid w:val="00E6285B"/>
    <w:rsid w:val="00E62FAE"/>
    <w:rsid w:val="00E64E13"/>
    <w:rsid w:val="00E67FDE"/>
    <w:rsid w:val="00E70193"/>
    <w:rsid w:val="00E7054F"/>
    <w:rsid w:val="00E72AF5"/>
    <w:rsid w:val="00E731CD"/>
    <w:rsid w:val="00E73B83"/>
    <w:rsid w:val="00E73DCC"/>
    <w:rsid w:val="00E74045"/>
    <w:rsid w:val="00E74D6D"/>
    <w:rsid w:val="00E81FA7"/>
    <w:rsid w:val="00E8228B"/>
    <w:rsid w:val="00E86AF2"/>
    <w:rsid w:val="00E969B4"/>
    <w:rsid w:val="00EA0633"/>
    <w:rsid w:val="00EA0B39"/>
    <w:rsid w:val="00EA186B"/>
    <w:rsid w:val="00EA5ACE"/>
    <w:rsid w:val="00EA7722"/>
    <w:rsid w:val="00EB014D"/>
    <w:rsid w:val="00EB0485"/>
    <w:rsid w:val="00EB5DD8"/>
    <w:rsid w:val="00EC02E5"/>
    <w:rsid w:val="00EC5AE6"/>
    <w:rsid w:val="00EC7633"/>
    <w:rsid w:val="00ED24E1"/>
    <w:rsid w:val="00EE2710"/>
    <w:rsid w:val="00EE65EF"/>
    <w:rsid w:val="00EF3A6B"/>
    <w:rsid w:val="00EF6B70"/>
    <w:rsid w:val="00EF7460"/>
    <w:rsid w:val="00F008CD"/>
    <w:rsid w:val="00F01907"/>
    <w:rsid w:val="00F02A58"/>
    <w:rsid w:val="00F04930"/>
    <w:rsid w:val="00F07D51"/>
    <w:rsid w:val="00F10960"/>
    <w:rsid w:val="00F1623D"/>
    <w:rsid w:val="00F20C26"/>
    <w:rsid w:val="00F216DB"/>
    <w:rsid w:val="00F22506"/>
    <w:rsid w:val="00F24DB6"/>
    <w:rsid w:val="00F24FFC"/>
    <w:rsid w:val="00F31D17"/>
    <w:rsid w:val="00F3640D"/>
    <w:rsid w:val="00F4101A"/>
    <w:rsid w:val="00F41276"/>
    <w:rsid w:val="00F514B0"/>
    <w:rsid w:val="00F518AF"/>
    <w:rsid w:val="00F53827"/>
    <w:rsid w:val="00F56196"/>
    <w:rsid w:val="00F56826"/>
    <w:rsid w:val="00F57552"/>
    <w:rsid w:val="00F57FE4"/>
    <w:rsid w:val="00F651AB"/>
    <w:rsid w:val="00F7292F"/>
    <w:rsid w:val="00F8065B"/>
    <w:rsid w:val="00F808A6"/>
    <w:rsid w:val="00F82054"/>
    <w:rsid w:val="00F86DF1"/>
    <w:rsid w:val="00F90A4F"/>
    <w:rsid w:val="00F90A9B"/>
    <w:rsid w:val="00FA0D6E"/>
    <w:rsid w:val="00FA2CC8"/>
    <w:rsid w:val="00FA2EF4"/>
    <w:rsid w:val="00FA3E45"/>
    <w:rsid w:val="00FA3F3D"/>
    <w:rsid w:val="00FA765B"/>
    <w:rsid w:val="00FB612D"/>
    <w:rsid w:val="00FB72DE"/>
    <w:rsid w:val="00FC0AAF"/>
    <w:rsid w:val="00FC4010"/>
    <w:rsid w:val="00FC4922"/>
    <w:rsid w:val="00FD1FC1"/>
    <w:rsid w:val="00FE0653"/>
    <w:rsid w:val="00FE084C"/>
    <w:rsid w:val="00FE3EEE"/>
    <w:rsid w:val="00FE6D56"/>
    <w:rsid w:val="00FE6EE7"/>
    <w:rsid w:val="00FF2D08"/>
    <w:rsid w:val="00FF4330"/>
    <w:rsid w:val="00FF667B"/>
    <w:rsid w:val="00FF68DD"/>
    <w:rsid w:val="00FF7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4BD6DD7-E632-4E71-8175-D471AD24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beforeLines="20" w:before="72"/>
    </w:pPr>
    <w:rPr>
      <w:rFonts w:ascii="標楷體" w:eastAsia="標楷體" w:hAnsi="標楷體"/>
      <w:color w:val="000000"/>
    </w:rPr>
  </w:style>
  <w:style w:type="paragraph" w:styleId="a4">
    <w:name w:val="Document Map"/>
    <w:basedOn w:val="a"/>
    <w:semiHidden/>
    <w:pPr>
      <w:shd w:val="clear" w:color="auto" w:fill="000080"/>
    </w:pPr>
    <w:rPr>
      <w:rFonts w:ascii="Arial" w:hAnsi="Arial"/>
    </w:rPr>
  </w:style>
  <w:style w:type="paragraph" w:styleId="a5">
    <w:name w:val="Balloon Text"/>
    <w:basedOn w:val="a"/>
    <w:semiHidden/>
    <w:rPr>
      <w:rFonts w:ascii="Arial" w:hAnsi="Arial"/>
      <w:sz w:val="18"/>
      <w:szCs w:val="18"/>
    </w:rPr>
  </w:style>
  <w:style w:type="character" w:styleId="a6">
    <w:name w:val="annotation reference"/>
    <w:semiHidden/>
    <w:rPr>
      <w:sz w:val="18"/>
      <w:szCs w:val="18"/>
    </w:rPr>
  </w:style>
  <w:style w:type="paragraph" w:styleId="a7">
    <w:name w:val="annotation text"/>
    <w:basedOn w:val="a"/>
    <w:semiHidden/>
  </w:style>
  <w:style w:type="paragraph" w:styleId="a8">
    <w:name w:val="annotation subject"/>
    <w:basedOn w:val="a7"/>
    <w:next w:val="a7"/>
    <w:semiHidden/>
    <w:rPr>
      <w:b/>
      <w:bCs/>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character" w:customStyle="1" w:styleId="ac">
    <w:name w:val="字元 字元"/>
    <w:rPr>
      <w:kern w:val="2"/>
    </w:rPr>
  </w:style>
  <w:style w:type="paragraph" w:styleId="ad">
    <w:name w:val="Body Text Indent"/>
    <w:basedOn w:val="a"/>
    <w:link w:val="ae"/>
    <w:pPr>
      <w:spacing w:after="120"/>
      <w:ind w:leftChars="200" w:left="480"/>
    </w:pPr>
    <w:rPr>
      <w:lang w:val="x-none" w:eastAsia="x-none"/>
    </w:rPr>
  </w:style>
  <w:style w:type="paragraph" w:customStyle="1" w:styleId="af">
    <w:name w:val="公文(後續段落)"/>
    <w:basedOn w:val="a"/>
    <w:pPr>
      <w:spacing w:line="500" w:lineRule="exact"/>
      <w:ind w:left="317"/>
    </w:pPr>
    <w:rPr>
      <w:rFonts w:eastAsia="標楷體"/>
      <w:sz w:val="32"/>
      <w:szCs w:val="32"/>
    </w:rPr>
  </w:style>
  <w:style w:type="paragraph" w:styleId="2">
    <w:name w:val="Body Text Indent 2"/>
    <w:basedOn w:val="a"/>
    <w:link w:val="20"/>
    <w:pPr>
      <w:spacing w:line="480" w:lineRule="exact"/>
      <w:ind w:left="600"/>
      <w:jc w:val="both"/>
    </w:pPr>
    <w:rPr>
      <w:rFonts w:ascii="標楷體" w:eastAsia="標楷體" w:hAnsi="標楷體"/>
      <w:color w:val="000000"/>
      <w:lang w:val="x-none" w:eastAsia="x-none"/>
    </w:rPr>
  </w:style>
  <w:style w:type="paragraph" w:styleId="3">
    <w:name w:val="Body Text Indent 3"/>
    <w:basedOn w:val="a"/>
    <w:pPr>
      <w:spacing w:line="480" w:lineRule="exact"/>
      <w:ind w:left="456"/>
      <w:jc w:val="both"/>
    </w:pPr>
    <w:rPr>
      <w:rFonts w:ascii="標楷體" w:eastAsia="標楷體" w:hAnsi="標楷體"/>
      <w:color w:val="000000"/>
    </w:rPr>
  </w:style>
  <w:style w:type="paragraph" w:styleId="af0">
    <w:name w:val="Block Text"/>
    <w:basedOn w:val="a"/>
    <w:pPr>
      <w:spacing w:line="276" w:lineRule="auto"/>
      <w:ind w:left="454" w:right="45"/>
      <w:jc w:val="both"/>
    </w:pPr>
    <w:rPr>
      <w:rFonts w:eastAsia="標楷體"/>
    </w:rPr>
  </w:style>
  <w:style w:type="character" w:customStyle="1" w:styleId="ae">
    <w:name w:val="本文縮排 字元"/>
    <w:link w:val="ad"/>
    <w:rsid w:val="00C802B8"/>
    <w:rPr>
      <w:kern w:val="2"/>
      <w:sz w:val="24"/>
      <w:szCs w:val="24"/>
    </w:rPr>
  </w:style>
  <w:style w:type="character" w:customStyle="1" w:styleId="20">
    <w:name w:val="本文縮排 2 字元"/>
    <w:link w:val="2"/>
    <w:rsid w:val="00C802B8"/>
    <w:rPr>
      <w:rFonts w:ascii="標楷體" w:eastAsia="標楷體" w:hAnsi="標楷體"/>
      <w:color w:val="000000"/>
      <w:kern w:val="2"/>
      <w:sz w:val="24"/>
      <w:szCs w:val="24"/>
    </w:rPr>
  </w:style>
  <w:style w:type="paragraph" w:customStyle="1" w:styleId="4">
    <w:name w:val="彙標4"/>
    <w:basedOn w:val="a"/>
    <w:rsid w:val="00D73F83"/>
    <w:pPr>
      <w:spacing w:before="120"/>
      <w:jc w:val="both"/>
    </w:pPr>
    <w:rPr>
      <w:rFonts w:ascii="新細明體" w:hAnsi="標楷體"/>
      <w:b/>
    </w:rPr>
  </w:style>
  <w:style w:type="paragraph" w:styleId="Web">
    <w:name w:val="Normal (Web)"/>
    <w:basedOn w:val="a"/>
    <w:uiPriority w:val="99"/>
    <w:semiHidden/>
    <w:unhideWhenUsed/>
    <w:rsid w:val="003356D3"/>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70769">
      <w:bodyDiv w:val="1"/>
      <w:marLeft w:val="0"/>
      <w:marRight w:val="0"/>
      <w:marTop w:val="0"/>
      <w:marBottom w:val="0"/>
      <w:divBdr>
        <w:top w:val="none" w:sz="0" w:space="0" w:color="auto"/>
        <w:left w:val="none" w:sz="0" w:space="0" w:color="auto"/>
        <w:bottom w:val="none" w:sz="0" w:space="0" w:color="auto"/>
        <w:right w:val="none" w:sz="0" w:space="0" w:color="auto"/>
      </w:divBdr>
      <w:divsChild>
        <w:div w:id="525683184">
          <w:marLeft w:val="0"/>
          <w:marRight w:val="0"/>
          <w:marTop w:val="0"/>
          <w:marBottom w:val="0"/>
          <w:divBdr>
            <w:top w:val="none" w:sz="0" w:space="0" w:color="auto"/>
            <w:left w:val="none" w:sz="0" w:space="0" w:color="auto"/>
            <w:bottom w:val="none" w:sz="0" w:space="0" w:color="auto"/>
            <w:right w:val="none" w:sz="0" w:space="0" w:color="auto"/>
          </w:divBdr>
        </w:div>
      </w:divsChild>
    </w:div>
    <w:div w:id="223879012">
      <w:bodyDiv w:val="1"/>
      <w:marLeft w:val="0"/>
      <w:marRight w:val="0"/>
      <w:marTop w:val="0"/>
      <w:marBottom w:val="0"/>
      <w:divBdr>
        <w:top w:val="none" w:sz="0" w:space="0" w:color="auto"/>
        <w:left w:val="none" w:sz="0" w:space="0" w:color="auto"/>
        <w:bottom w:val="none" w:sz="0" w:space="0" w:color="auto"/>
        <w:right w:val="none" w:sz="0" w:space="0" w:color="auto"/>
      </w:divBdr>
      <w:divsChild>
        <w:div w:id="619529181">
          <w:marLeft w:val="0"/>
          <w:marRight w:val="0"/>
          <w:marTop w:val="0"/>
          <w:marBottom w:val="0"/>
          <w:divBdr>
            <w:top w:val="none" w:sz="0" w:space="0" w:color="auto"/>
            <w:left w:val="none" w:sz="0" w:space="0" w:color="auto"/>
            <w:bottom w:val="none" w:sz="0" w:space="0" w:color="auto"/>
            <w:right w:val="none" w:sz="0" w:space="0" w:color="auto"/>
          </w:divBdr>
        </w:div>
      </w:divsChild>
    </w:div>
    <w:div w:id="228225995">
      <w:bodyDiv w:val="1"/>
      <w:marLeft w:val="0"/>
      <w:marRight w:val="0"/>
      <w:marTop w:val="0"/>
      <w:marBottom w:val="0"/>
      <w:divBdr>
        <w:top w:val="none" w:sz="0" w:space="0" w:color="auto"/>
        <w:left w:val="none" w:sz="0" w:space="0" w:color="auto"/>
        <w:bottom w:val="none" w:sz="0" w:space="0" w:color="auto"/>
        <w:right w:val="none" w:sz="0" w:space="0" w:color="auto"/>
      </w:divBdr>
    </w:div>
    <w:div w:id="685449688">
      <w:bodyDiv w:val="1"/>
      <w:marLeft w:val="0"/>
      <w:marRight w:val="0"/>
      <w:marTop w:val="0"/>
      <w:marBottom w:val="0"/>
      <w:divBdr>
        <w:top w:val="none" w:sz="0" w:space="0" w:color="auto"/>
        <w:left w:val="none" w:sz="0" w:space="0" w:color="auto"/>
        <w:bottom w:val="none" w:sz="0" w:space="0" w:color="auto"/>
        <w:right w:val="none" w:sz="0" w:space="0" w:color="auto"/>
      </w:divBdr>
      <w:divsChild>
        <w:div w:id="1812747061">
          <w:marLeft w:val="0"/>
          <w:marRight w:val="0"/>
          <w:marTop w:val="0"/>
          <w:marBottom w:val="0"/>
          <w:divBdr>
            <w:top w:val="none" w:sz="0" w:space="0" w:color="auto"/>
            <w:left w:val="none" w:sz="0" w:space="0" w:color="auto"/>
            <w:bottom w:val="none" w:sz="0" w:space="0" w:color="auto"/>
            <w:right w:val="none" w:sz="0" w:space="0" w:color="auto"/>
          </w:divBdr>
        </w:div>
      </w:divsChild>
    </w:div>
    <w:div w:id="762147742">
      <w:bodyDiv w:val="1"/>
      <w:marLeft w:val="0"/>
      <w:marRight w:val="0"/>
      <w:marTop w:val="0"/>
      <w:marBottom w:val="0"/>
      <w:divBdr>
        <w:top w:val="none" w:sz="0" w:space="0" w:color="auto"/>
        <w:left w:val="none" w:sz="0" w:space="0" w:color="auto"/>
        <w:bottom w:val="none" w:sz="0" w:space="0" w:color="auto"/>
        <w:right w:val="none" w:sz="0" w:space="0" w:color="auto"/>
      </w:divBdr>
      <w:divsChild>
        <w:div w:id="696463678">
          <w:marLeft w:val="0"/>
          <w:marRight w:val="0"/>
          <w:marTop w:val="0"/>
          <w:marBottom w:val="0"/>
          <w:divBdr>
            <w:top w:val="none" w:sz="0" w:space="0" w:color="auto"/>
            <w:left w:val="none" w:sz="0" w:space="0" w:color="auto"/>
            <w:bottom w:val="none" w:sz="0" w:space="0" w:color="auto"/>
            <w:right w:val="none" w:sz="0" w:space="0" w:color="auto"/>
          </w:divBdr>
        </w:div>
      </w:divsChild>
    </w:div>
    <w:div w:id="762185048">
      <w:bodyDiv w:val="1"/>
      <w:marLeft w:val="0"/>
      <w:marRight w:val="0"/>
      <w:marTop w:val="0"/>
      <w:marBottom w:val="0"/>
      <w:divBdr>
        <w:top w:val="none" w:sz="0" w:space="0" w:color="auto"/>
        <w:left w:val="none" w:sz="0" w:space="0" w:color="auto"/>
        <w:bottom w:val="none" w:sz="0" w:space="0" w:color="auto"/>
        <w:right w:val="none" w:sz="0" w:space="0" w:color="auto"/>
      </w:divBdr>
    </w:div>
    <w:div w:id="797576691">
      <w:bodyDiv w:val="1"/>
      <w:marLeft w:val="0"/>
      <w:marRight w:val="0"/>
      <w:marTop w:val="0"/>
      <w:marBottom w:val="0"/>
      <w:divBdr>
        <w:top w:val="none" w:sz="0" w:space="0" w:color="auto"/>
        <w:left w:val="none" w:sz="0" w:space="0" w:color="auto"/>
        <w:bottom w:val="none" w:sz="0" w:space="0" w:color="auto"/>
        <w:right w:val="none" w:sz="0" w:space="0" w:color="auto"/>
      </w:divBdr>
    </w:div>
    <w:div w:id="801078490">
      <w:bodyDiv w:val="1"/>
      <w:marLeft w:val="0"/>
      <w:marRight w:val="0"/>
      <w:marTop w:val="0"/>
      <w:marBottom w:val="0"/>
      <w:divBdr>
        <w:top w:val="none" w:sz="0" w:space="0" w:color="auto"/>
        <w:left w:val="none" w:sz="0" w:space="0" w:color="auto"/>
        <w:bottom w:val="none" w:sz="0" w:space="0" w:color="auto"/>
        <w:right w:val="none" w:sz="0" w:space="0" w:color="auto"/>
      </w:divBdr>
      <w:divsChild>
        <w:div w:id="1682659669">
          <w:marLeft w:val="0"/>
          <w:marRight w:val="0"/>
          <w:marTop w:val="0"/>
          <w:marBottom w:val="0"/>
          <w:divBdr>
            <w:top w:val="none" w:sz="0" w:space="0" w:color="auto"/>
            <w:left w:val="none" w:sz="0" w:space="0" w:color="auto"/>
            <w:bottom w:val="none" w:sz="0" w:space="0" w:color="auto"/>
            <w:right w:val="none" w:sz="0" w:space="0" w:color="auto"/>
          </w:divBdr>
        </w:div>
      </w:divsChild>
    </w:div>
    <w:div w:id="956450078">
      <w:bodyDiv w:val="1"/>
      <w:marLeft w:val="0"/>
      <w:marRight w:val="0"/>
      <w:marTop w:val="0"/>
      <w:marBottom w:val="0"/>
      <w:divBdr>
        <w:top w:val="none" w:sz="0" w:space="0" w:color="auto"/>
        <w:left w:val="none" w:sz="0" w:space="0" w:color="auto"/>
        <w:bottom w:val="none" w:sz="0" w:space="0" w:color="auto"/>
        <w:right w:val="none" w:sz="0" w:space="0" w:color="auto"/>
      </w:divBdr>
      <w:divsChild>
        <w:div w:id="927999500">
          <w:marLeft w:val="0"/>
          <w:marRight w:val="0"/>
          <w:marTop w:val="0"/>
          <w:marBottom w:val="0"/>
          <w:divBdr>
            <w:top w:val="none" w:sz="0" w:space="0" w:color="auto"/>
            <w:left w:val="none" w:sz="0" w:space="0" w:color="auto"/>
            <w:bottom w:val="none" w:sz="0" w:space="0" w:color="auto"/>
            <w:right w:val="none" w:sz="0" w:space="0" w:color="auto"/>
          </w:divBdr>
        </w:div>
      </w:divsChild>
    </w:div>
    <w:div w:id="1120370438">
      <w:bodyDiv w:val="1"/>
      <w:marLeft w:val="0"/>
      <w:marRight w:val="0"/>
      <w:marTop w:val="0"/>
      <w:marBottom w:val="0"/>
      <w:divBdr>
        <w:top w:val="none" w:sz="0" w:space="0" w:color="auto"/>
        <w:left w:val="none" w:sz="0" w:space="0" w:color="auto"/>
        <w:bottom w:val="none" w:sz="0" w:space="0" w:color="auto"/>
        <w:right w:val="none" w:sz="0" w:space="0" w:color="auto"/>
      </w:divBdr>
    </w:div>
    <w:div w:id="1196190062">
      <w:bodyDiv w:val="1"/>
      <w:marLeft w:val="0"/>
      <w:marRight w:val="0"/>
      <w:marTop w:val="0"/>
      <w:marBottom w:val="0"/>
      <w:divBdr>
        <w:top w:val="none" w:sz="0" w:space="0" w:color="auto"/>
        <w:left w:val="none" w:sz="0" w:space="0" w:color="auto"/>
        <w:bottom w:val="none" w:sz="0" w:space="0" w:color="auto"/>
        <w:right w:val="none" w:sz="0" w:space="0" w:color="auto"/>
      </w:divBdr>
    </w:div>
    <w:div w:id="1249463356">
      <w:bodyDiv w:val="1"/>
      <w:marLeft w:val="0"/>
      <w:marRight w:val="0"/>
      <w:marTop w:val="0"/>
      <w:marBottom w:val="0"/>
      <w:divBdr>
        <w:top w:val="none" w:sz="0" w:space="0" w:color="auto"/>
        <w:left w:val="none" w:sz="0" w:space="0" w:color="auto"/>
        <w:bottom w:val="none" w:sz="0" w:space="0" w:color="auto"/>
        <w:right w:val="none" w:sz="0" w:space="0" w:color="auto"/>
      </w:divBdr>
    </w:div>
    <w:div w:id="1418743880">
      <w:bodyDiv w:val="1"/>
      <w:marLeft w:val="0"/>
      <w:marRight w:val="0"/>
      <w:marTop w:val="0"/>
      <w:marBottom w:val="0"/>
      <w:divBdr>
        <w:top w:val="none" w:sz="0" w:space="0" w:color="auto"/>
        <w:left w:val="none" w:sz="0" w:space="0" w:color="auto"/>
        <w:bottom w:val="none" w:sz="0" w:space="0" w:color="auto"/>
        <w:right w:val="none" w:sz="0" w:space="0" w:color="auto"/>
      </w:divBdr>
      <w:divsChild>
        <w:div w:id="1112237892">
          <w:marLeft w:val="0"/>
          <w:marRight w:val="0"/>
          <w:marTop w:val="0"/>
          <w:marBottom w:val="0"/>
          <w:divBdr>
            <w:top w:val="none" w:sz="0" w:space="0" w:color="auto"/>
            <w:left w:val="none" w:sz="0" w:space="0" w:color="auto"/>
            <w:bottom w:val="none" w:sz="0" w:space="0" w:color="auto"/>
            <w:right w:val="none" w:sz="0" w:space="0" w:color="auto"/>
          </w:divBdr>
        </w:div>
      </w:divsChild>
    </w:div>
    <w:div w:id="1729112458">
      <w:bodyDiv w:val="1"/>
      <w:marLeft w:val="0"/>
      <w:marRight w:val="0"/>
      <w:marTop w:val="0"/>
      <w:marBottom w:val="0"/>
      <w:divBdr>
        <w:top w:val="none" w:sz="0" w:space="0" w:color="auto"/>
        <w:left w:val="none" w:sz="0" w:space="0" w:color="auto"/>
        <w:bottom w:val="none" w:sz="0" w:space="0" w:color="auto"/>
        <w:right w:val="none" w:sz="0" w:space="0" w:color="auto"/>
      </w:divBdr>
      <w:divsChild>
        <w:div w:id="1034190726">
          <w:marLeft w:val="0"/>
          <w:marRight w:val="0"/>
          <w:marTop w:val="0"/>
          <w:marBottom w:val="0"/>
          <w:divBdr>
            <w:top w:val="none" w:sz="0" w:space="0" w:color="auto"/>
            <w:left w:val="none" w:sz="0" w:space="0" w:color="auto"/>
            <w:bottom w:val="none" w:sz="0" w:space="0" w:color="auto"/>
            <w:right w:val="none" w:sz="0" w:space="0" w:color="auto"/>
          </w:divBdr>
          <w:divsChild>
            <w:div w:id="19844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3040">
      <w:bodyDiv w:val="1"/>
      <w:marLeft w:val="0"/>
      <w:marRight w:val="0"/>
      <w:marTop w:val="0"/>
      <w:marBottom w:val="0"/>
      <w:divBdr>
        <w:top w:val="none" w:sz="0" w:space="0" w:color="auto"/>
        <w:left w:val="none" w:sz="0" w:space="0" w:color="auto"/>
        <w:bottom w:val="none" w:sz="0" w:space="0" w:color="auto"/>
        <w:right w:val="none" w:sz="0" w:space="0" w:color="auto"/>
      </w:divBdr>
      <w:divsChild>
        <w:div w:id="1523518421">
          <w:marLeft w:val="0"/>
          <w:marRight w:val="0"/>
          <w:marTop w:val="0"/>
          <w:marBottom w:val="0"/>
          <w:divBdr>
            <w:top w:val="none" w:sz="0" w:space="0" w:color="auto"/>
            <w:left w:val="none" w:sz="0" w:space="0" w:color="auto"/>
            <w:bottom w:val="none" w:sz="0" w:space="0" w:color="auto"/>
            <w:right w:val="none" w:sz="0" w:space="0" w:color="auto"/>
          </w:divBdr>
        </w:div>
      </w:divsChild>
    </w:div>
    <w:div w:id="1910186678">
      <w:bodyDiv w:val="1"/>
      <w:marLeft w:val="0"/>
      <w:marRight w:val="0"/>
      <w:marTop w:val="0"/>
      <w:marBottom w:val="0"/>
      <w:divBdr>
        <w:top w:val="none" w:sz="0" w:space="0" w:color="auto"/>
        <w:left w:val="none" w:sz="0" w:space="0" w:color="auto"/>
        <w:bottom w:val="none" w:sz="0" w:space="0" w:color="auto"/>
        <w:right w:val="none" w:sz="0" w:space="0" w:color="auto"/>
      </w:divBdr>
    </w:div>
    <w:div w:id="1991904493">
      <w:bodyDiv w:val="1"/>
      <w:marLeft w:val="0"/>
      <w:marRight w:val="0"/>
      <w:marTop w:val="0"/>
      <w:marBottom w:val="0"/>
      <w:divBdr>
        <w:top w:val="none" w:sz="0" w:space="0" w:color="auto"/>
        <w:left w:val="none" w:sz="0" w:space="0" w:color="auto"/>
        <w:bottom w:val="none" w:sz="0" w:space="0" w:color="auto"/>
        <w:right w:val="none" w:sz="0" w:space="0" w:color="auto"/>
      </w:divBdr>
      <w:divsChild>
        <w:div w:id="207632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C81A3-6F46-4368-A719-E4237F54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1711</Words>
  <Characters>9757</Characters>
  <Application>Microsoft Office Word</Application>
  <DocSecurity>0</DocSecurity>
  <Lines>81</Lines>
  <Paragraphs>22</Paragraphs>
  <ScaleCrop>false</ScaleCrop>
  <Company>ficr</Company>
  <LinksUpToDate>false</LinksUpToDate>
  <CharactersWithSpaces>11446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2006年精算簽證報告　執行細則</dc:title>
  <dc:creator>侯丁月</dc:creator>
  <cp:lastModifiedBy>侯丁月</cp:lastModifiedBy>
  <cp:revision>6</cp:revision>
  <cp:lastPrinted>2017-11-27T09:53:00Z</cp:lastPrinted>
  <dcterms:created xsi:type="dcterms:W3CDTF">2017-12-08T02:05:00Z</dcterms:created>
  <dcterms:modified xsi:type="dcterms:W3CDTF">2017-12-18T06:07:00Z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000800fa03000000000001024120</vt:lpwstr>
  </property>
</Properties>
</file>