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26" w:rsidRPr="00390130" w:rsidRDefault="00F93486" w:rsidP="005A4E9B">
      <w:pPr>
        <w:kinsoku w:val="0"/>
        <w:overflowPunct w:val="0"/>
        <w:spacing w:afterLines="20" w:after="72" w:line="440" w:lineRule="exact"/>
        <w:jc w:val="center"/>
        <w:textAlignment w:val="center"/>
        <w:rPr>
          <w:rFonts w:eastAsia="標楷體"/>
          <w:b/>
        </w:rPr>
      </w:pPr>
      <w:bookmarkStart w:id="0" w:name="OLE_LINK1"/>
      <w:r w:rsidRPr="00390130">
        <w:rPr>
          <w:rFonts w:eastAsia="標楷體"/>
          <w:sz w:val="32"/>
          <w:szCs w:val="32"/>
        </w:rPr>
        <w:t xml:space="preserve"> </w:t>
      </w:r>
      <w:r w:rsidR="00EC6349" w:rsidRPr="00390130">
        <w:rPr>
          <w:rFonts w:eastAsia="標楷體"/>
          <w:sz w:val="32"/>
          <w:szCs w:val="32"/>
        </w:rPr>
        <w:t>106</w:t>
      </w:r>
      <w:r w:rsidR="004D7026" w:rsidRPr="00390130">
        <w:rPr>
          <w:rFonts w:eastAsia="標楷體"/>
          <w:sz w:val="32"/>
          <w:szCs w:val="32"/>
        </w:rPr>
        <w:t>年度人身保險業精算簽證作業補充說明</w:t>
      </w:r>
      <w:bookmarkEnd w:id="0"/>
      <w:r w:rsidR="004D7026" w:rsidRPr="00390130">
        <w:rPr>
          <w:rFonts w:eastAsia="標楷體"/>
          <w:sz w:val="32"/>
          <w:szCs w:val="32"/>
        </w:rPr>
        <w:t>修正對照表</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3628"/>
        <w:gridCol w:w="2154"/>
      </w:tblGrid>
      <w:tr w:rsidR="00390130" w:rsidRPr="00390130" w:rsidTr="00390130">
        <w:trPr>
          <w:trHeight w:val="20"/>
          <w:tblHeader/>
        </w:trPr>
        <w:tc>
          <w:tcPr>
            <w:tcW w:w="3628" w:type="dxa"/>
            <w:vAlign w:val="center"/>
          </w:tcPr>
          <w:p w:rsidR="004D7026" w:rsidRPr="00390130" w:rsidRDefault="00EC6349" w:rsidP="00940BD3">
            <w:pPr>
              <w:kinsoku w:val="0"/>
              <w:overflowPunct w:val="0"/>
              <w:spacing w:line="440" w:lineRule="exact"/>
              <w:jc w:val="center"/>
              <w:textAlignment w:val="center"/>
              <w:rPr>
                <w:rFonts w:eastAsia="標楷體"/>
              </w:rPr>
            </w:pPr>
            <w:r w:rsidRPr="00390130">
              <w:rPr>
                <w:rFonts w:eastAsia="標楷體"/>
              </w:rPr>
              <w:t>106</w:t>
            </w:r>
            <w:r w:rsidR="004D7026" w:rsidRPr="00390130">
              <w:rPr>
                <w:rFonts w:eastAsia="標楷體"/>
              </w:rPr>
              <w:t>年</w:t>
            </w:r>
            <w:r w:rsidR="001D7BC8" w:rsidRPr="00390130">
              <w:rPr>
                <w:rFonts w:eastAsia="標楷體"/>
              </w:rPr>
              <w:t>修正</w:t>
            </w:r>
            <w:r w:rsidR="004D7026" w:rsidRPr="00390130">
              <w:rPr>
                <w:rFonts w:eastAsia="標楷體"/>
              </w:rPr>
              <w:t>條文</w:t>
            </w:r>
          </w:p>
        </w:tc>
        <w:tc>
          <w:tcPr>
            <w:tcW w:w="3628" w:type="dxa"/>
            <w:vAlign w:val="center"/>
          </w:tcPr>
          <w:p w:rsidR="004D7026" w:rsidRPr="00390130" w:rsidRDefault="00EC6349" w:rsidP="00940BD3">
            <w:pPr>
              <w:kinsoku w:val="0"/>
              <w:overflowPunct w:val="0"/>
              <w:spacing w:line="440" w:lineRule="exact"/>
              <w:jc w:val="center"/>
              <w:textAlignment w:val="center"/>
              <w:rPr>
                <w:rFonts w:eastAsia="標楷體"/>
              </w:rPr>
            </w:pPr>
            <w:r w:rsidRPr="00390130">
              <w:rPr>
                <w:rFonts w:eastAsia="標楷體"/>
              </w:rPr>
              <w:t>105</w:t>
            </w:r>
            <w:r w:rsidR="004D7026" w:rsidRPr="00390130">
              <w:rPr>
                <w:rFonts w:eastAsia="標楷體"/>
              </w:rPr>
              <w:t>年現行條文</w:t>
            </w:r>
          </w:p>
        </w:tc>
        <w:tc>
          <w:tcPr>
            <w:tcW w:w="2154" w:type="dxa"/>
            <w:vAlign w:val="center"/>
          </w:tcPr>
          <w:p w:rsidR="004D7026" w:rsidRPr="00390130" w:rsidRDefault="004D7026" w:rsidP="00940BD3">
            <w:pPr>
              <w:kinsoku w:val="0"/>
              <w:overflowPunct w:val="0"/>
              <w:spacing w:line="440" w:lineRule="exact"/>
              <w:jc w:val="center"/>
              <w:textAlignment w:val="center"/>
              <w:rPr>
                <w:rFonts w:eastAsia="標楷體"/>
              </w:rPr>
            </w:pPr>
            <w:r w:rsidRPr="00390130">
              <w:rPr>
                <w:rFonts w:eastAsia="標楷體"/>
              </w:rPr>
              <w:t>說明</w:t>
            </w:r>
          </w:p>
        </w:tc>
      </w:tr>
      <w:tr w:rsidR="00390130" w:rsidRPr="00390130" w:rsidTr="00390130">
        <w:trPr>
          <w:trHeight w:val="20"/>
        </w:trPr>
        <w:tc>
          <w:tcPr>
            <w:tcW w:w="3628" w:type="dxa"/>
            <w:vAlign w:val="center"/>
          </w:tcPr>
          <w:p w:rsidR="000A799A" w:rsidRPr="00390130" w:rsidRDefault="000A799A" w:rsidP="00390130">
            <w:pPr>
              <w:kinsoku w:val="0"/>
              <w:overflowPunct w:val="0"/>
              <w:spacing w:line="420" w:lineRule="exact"/>
              <w:ind w:left="960" w:hangingChars="400" w:hanging="960"/>
              <w:jc w:val="both"/>
              <w:textAlignment w:val="center"/>
              <w:rPr>
                <w:rFonts w:eastAsia="標楷體"/>
              </w:rPr>
            </w:pPr>
            <w:r w:rsidRPr="00390130">
              <w:rPr>
                <w:rFonts w:eastAsia="標楷體"/>
              </w:rPr>
              <w:t>第一章、總則</w:t>
            </w:r>
          </w:p>
        </w:tc>
        <w:tc>
          <w:tcPr>
            <w:tcW w:w="3628" w:type="dxa"/>
          </w:tcPr>
          <w:p w:rsidR="000A799A" w:rsidRPr="00390130" w:rsidRDefault="000A799A" w:rsidP="00390130">
            <w:pPr>
              <w:kinsoku w:val="0"/>
              <w:overflowPunct w:val="0"/>
              <w:spacing w:line="420" w:lineRule="exact"/>
              <w:ind w:left="960" w:hangingChars="400" w:hanging="960"/>
              <w:jc w:val="both"/>
              <w:textAlignment w:val="center"/>
              <w:rPr>
                <w:rFonts w:eastAsia="標楷體"/>
              </w:rPr>
            </w:pPr>
            <w:r w:rsidRPr="00390130">
              <w:rPr>
                <w:rFonts w:eastAsia="標楷體"/>
              </w:rPr>
              <w:t>第一章、總則</w:t>
            </w:r>
          </w:p>
        </w:tc>
        <w:tc>
          <w:tcPr>
            <w:tcW w:w="2154" w:type="dxa"/>
            <w:vAlign w:val="center"/>
          </w:tcPr>
          <w:p w:rsidR="000A799A" w:rsidRPr="00390130" w:rsidRDefault="000A799A" w:rsidP="00390130">
            <w:pPr>
              <w:kinsoku w:val="0"/>
              <w:overflowPunct w:val="0"/>
              <w:spacing w:line="440" w:lineRule="exact"/>
              <w:jc w:val="both"/>
              <w:textAlignment w:val="center"/>
              <w:rPr>
                <w:rFonts w:eastAsia="標楷體"/>
              </w:rPr>
            </w:pPr>
          </w:p>
        </w:tc>
      </w:tr>
      <w:tr w:rsidR="00390130" w:rsidRPr="00390130" w:rsidTr="00390130">
        <w:trPr>
          <w:trHeight w:val="20"/>
        </w:trPr>
        <w:tc>
          <w:tcPr>
            <w:tcW w:w="3628" w:type="dxa"/>
            <w:vAlign w:val="center"/>
          </w:tcPr>
          <w:p w:rsidR="00EE5689" w:rsidRPr="00390130" w:rsidRDefault="00EE5689" w:rsidP="00390130">
            <w:pPr>
              <w:kinsoku w:val="0"/>
              <w:overflowPunct w:val="0"/>
              <w:spacing w:line="440" w:lineRule="exact"/>
              <w:ind w:left="497" w:hangingChars="207" w:hanging="497"/>
              <w:jc w:val="both"/>
              <w:textAlignment w:val="center"/>
              <w:rPr>
                <w:rFonts w:eastAsia="標楷體"/>
              </w:rPr>
            </w:pPr>
            <w:r w:rsidRPr="00390130">
              <w:rPr>
                <w:rFonts w:eastAsia="標楷體"/>
              </w:rPr>
              <w:t>一、本說明係配合保險法第</w:t>
            </w:r>
            <w:r w:rsidRPr="00390130">
              <w:rPr>
                <w:rFonts w:eastAsia="標楷體"/>
              </w:rPr>
              <w:t>144</w:t>
            </w:r>
            <w:r w:rsidRPr="00390130">
              <w:rPr>
                <w:rFonts w:eastAsia="標楷體"/>
              </w:rPr>
              <w:t>條及相關法令規定，補充說明簽證精算人員執行簽證工作時應遵循之事項，以及簽證報告內容與格式之要求，以作為主管機關審閱</w:t>
            </w:r>
            <w:r w:rsidRPr="00390130">
              <w:rPr>
                <w:rFonts w:eastAsia="標楷體"/>
                <w:u w:val="single"/>
              </w:rPr>
              <w:t>106</w:t>
            </w:r>
            <w:r w:rsidRPr="00390130">
              <w:rPr>
                <w:rFonts w:eastAsia="標楷體"/>
              </w:rPr>
              <w:t>年度人身保險業精算簽證報告之重要依據。</w:t>
            </w:r>
          </w:p>
        </w:tc>
        <w:tc>
          <w:tcPr>
            <w:tcW w:w="3628" w:type="dxa"/>
            <w:vAlign w:val="center"/>
          </w:tcPr>
          <w:p w:rsidR="00EE5689" w:rsidRPr="00390130" w:rsidRDefault="00EE5689" w:rsidP="00390130">
            <w:pPr>
              <w:kinsoku w:val="0"/>
              <w:overflowPunct w:val="0"/>
              <w:spacing w:line="440" w:lineRule="exact"/>
              <w:ind w:left="497" w:hangingChars="207" w:hanging="497"/>
              <w:jc w:val="both"/>
              <w:textAlignment w:val="center"/>
              <w:rPr>
                <w:rFonts w:eastAsia="標楷體"/>
              </w:rPr>
            </w:pPr>
            <w:r w:rsidRPr="00390130">
              <w:rPr>
                <w:rFonts w:eastAsia="標楷體"/>
              </w:rPr>
              <w:t>一、本說明係配合保險法第</w:t>
            </w:r>
            <w:r w:rsidRPr="00390130">
              <w:rPr>
                <w:rFonts w:eastAsia="標楷體"/>
              </w:rPr>
              <w:t>144</w:t>
            </w:r>
            <w:r w:rsidRPr="00390130">
              <w:rPr>
                <w:rFonts w:eastAsia="標楷體"/>
              </w:rPr>
              <w:t>條及相關法令規定，補充說明簽證精算人員執行簽證工作時應遵循之事項，以及簽證報告內容與格式之要求，以作為主管機關審閱</w:t>
            </w:r>
            <w:r w:rsidRPr="00390130">
              <w:rPr>
                <w:rFonts w:eastAsia="標楷體"/>
                <w:u w:val="single"/>
              </w:rPr>
              <w:t>105</w:t>
            </w:r>
            <w:r w:rsidRPr="00390130">
              <w:rPr>
                <w:rFonts w:eastAsia="標楷體"/>
              </w:rPr>
              <w:t>年度人身保險業精算簽證報告之重要依據。</w:t>
            </w:r>
          </w:p>
        </w:tc>
        <w:tc>
          <w:tcPr>
            <w:tcW w:w="2154" w:type="dxa"/>
          </w:tcPr>
          <w:p w:rsidR="00EE5689" w:rsidRPr="00390130" w:rsidRDefault="00EE5689" w:rsidP="00390130">
            <w:pPr>
              <w:kinsoku w:val="0"/>
              <w:overflowPunct w:val="0"/>
              <w:spacing w:line="440" w:lineRule="exact"/>
              <w:jc w:val="both"/>
              <w:textAlignment w:val="center"/>
              <w:rPr>
                <w:rFonts w:eastAsia="標楷體"/>
              </w:rPr>
            </w:pPr>
            <w:r w:rsidRPr="00390130">
              <w:rPr>
                <w:rFonts w:eastAsia="標楷體"/>
              </w:rPr>
              <w:t>年度變更。</w:t>
            </w:r>
          </w:p>
        </w:tc>
      </w:tr>
      <w:tr w:rsidR="00390130" w:rsidRPr="00390130" w:rsidTr="00390130">
        <w:trPr>
          <w:trHeight w:val="20"/>
        </w:trPr>
        <w:tc>
          <w:tcPr>
            <w:tcW w:w="3628" w:type="dxa"/>
            <w:vAlign w:val="center"/>
          </w:tcPr>
          <w:p w:rsidR="00EE5689" w:rsidRPr="00390130" w:rsidRDefault="00EE5689" w:rsidP="00390130">
            <w:pPr>
              <w:kinsoku w:val="0"/>
              <w:overflowPunct w:val="0"/>
              <w:spacing w:line="420" w:lineRule="exact"/>
              <w:ind w:left="960" w:hangingChars="400" w:hanging="960"/>
              <w:jc w:val="both"/>
              <w:textAlignment w:val="center"/>
              <w:rPr>
                <w:rFonts w:eastAsia="標楷體"/>
              </w:rPr>
            </w:pPr>
            <w:r w:rsidRPr="00390130">
              <w:rPr>
                <w:rFonts w:eastAsia="標楷體"/>
              </w:rPr>
              <w:t>第二章、資產面</w:t>
            </w:r>
          </w:p>
        </w:tc>
        <w:tc>
          <w:tcPr>
            <w:tcW w:w="3628" w:type="dxa"/>
            <w:vAlign w:val="center"/>
          </w:tcPr>
          <w:p w:rsidR="00EE5689" w:rsidRPr="00390130" w:rsidRDefault="00EE5689" w:rsidP="00390130">
            <w:pPr>
              <w:kinsoku w:val="0"/>
              <w:overflowPunct w:val="0"/>
              <w:spacing w:line="420" w:lineRule="exact"/>
              <w:ind w:left="960" w:hangingChars="400" w:hanging="960"/>
              <w:jc w:val="both"/>
              <w:textAlignment w:val="center"/>
              <w:rPr>
                <w:rFonts w:eastAsia="標楷體"/>
              </w:rPr>
            </w:pPr>
            <w:r w:rsidRPr="00390130">
              <w:rPr>
                <w:rFonts w:eastAsia="標楷體"/>
              </w:rPr>
              <w:t>第二章、資產面</w:t>
            </w:r>
          </w:p>
        </w:tc>
        <w:tc>
          <w:tcPr>
            <w:tcW w:w="2154" w:type="dxa"/>
            <w:vAlign w:val="center"/>
          </w:tcPr>
          <w:p w:rsidR="00EE5689" w:rsidRPr="00390130" w:rsidRDefault="00EE5689" w:rsidP="00390130">
            <w:pPr>
              <w:kinsoku w:val="0"/>
              <w:overflowPunct w:val="0"/>
              <w:spacing w:line="440" w:lineRule="exact"/>
              <w:jc w:val="both"/>
              <w:textAlignment w:val="center"/>
              <w:rPr>
                <w:rFonts w:eastAsia="標楷體"/>
              </w:rPr>
            </w:pPr>
          </w:p>
        </w:tc>
      </w:tr>
      <w:tr w:rsidR="00390130" w:rsidRPr="00390130" w:rsidTr="00390130">
        <w:trPr>
          <w:trHeight w:val="20"/>
        </w:trPr>
        <w:tc>
          <w:tcPr>
            <w:tcW w:w="3628" w:type="dxa"/>
          </w:tcPr>
          <w:p w:rsidR="00EE5689" w:rsidRPr="00390130" w:rsidRDefault="00EE5689" w:rsidP="00390130">
            <w:pPr>
              <w:kinsoku w:val="0"/>
              <w:overflowPunct w:val="0"/>
              <w:spacing w:line="440" w:lineRule="exact"/>
              <w:ind w:left="720" w:hangingChars="300" w:hanging="720"/>
              <w:jc w:val="both"/>
              <w:textAlignment w:val="center"/>
              <w:rPr>
                <w:rFonts w:eastAsia="標楷體"/>
              </w:rPr>
            </w:pPr>
            <w:r w:rsidRPr="00390130">
              <w:rPr>
                <w:rFonts w:eastAsia="標楷體"/>
              </w:rPr>
              <w:t>十四、簽證精算人員應檢附當年度與上年度之資產面假設對照表，除說明所採用之精算軟體外，至少應包括各類資產風險溢酬、違約成本、避險成本、新錢資產配置及最佳估計利率情境等資產面假設。若假設完全相同者，應說明其適當性；若有不一致者，應說明其原因及影響是否顯著。如有顯著影響，應以量化方式評估其影響程度</w:t>
            </w:r>
            <w:r w:rsidR="00390130">
              <w:rPr>
                <w:rFonts w:eastAsia="標楷體" w:hint="eastAsia"/>
              </w:rPr>
              <w:t>(</w:t>
            </w:r>
            <w:r w:rsidRPr="00390130">
              <w:rPr>
                <w:rFonts w:eastAsia="標楷體"/>
              </w:rPr>
              <w:t>準備金適足性測試之變動分析表詳指定附表</w:t>
            </w:r>
            <w:r w:rsidRPr="00390130">
              <w:rPr>
                <w:rFonts w:eastAsia="標楷體"/>
              </w:rPr>
              <w:t>15</w:t>
            </w:r>
            <w:r w:rsidR="00390130">
              <w:rPr>
                <w:rFonts w:eastAsia="標楷體" w:hint="eastAsia"/>
              </w:rPr>
              <w:t>)</w:t>
            </w:r>
            <w:r w:rsidRPr="00390130">
              <w:rPr>
                <w:rFonts w:eastAsia="標楷體"/>
              </w:rPr>
              <w:t>。</w:t>
            </w:r>
          </w:p>
          <w:p w:rsidR="00EE5689" w:rsidRPr="00390130" w:rsidRDefault="00EE5689" w:rsidP="00390130">
            <w:pPr>
              <w:kinsoku w:val="0"/>
              <w:overflowPunct w:val="0"/>
              <w:spacing w:line="440" w:lineRule="exact"/>
              <w:ind w:leftChars="300" w:left="720"/>
              <w:jc w:val="both"/>
              <w:textAlignment w:val="center"/>
              <w:rPr>
                <w:rFonts w:eastAsia="標楷體"/>
              </w:rPr>
            </w:pPr>
            <w:r w:rsidRPr="00390130">
              <w:rPr>
                <w:rFonts w:eastAsia="標楷體"/>
              </w:rPr>
              <w:t>除因法令或主管機關或其指定機構公告之基礎情境而變動外，簽證精算人員</w:t>
            </w:r>
            <w:r w:rsidRPr="00390130">
              <w:rPr>
                <w:rFonts w:eastAsia="標楷體"/>
              </w:rPr>
              <w:lastRenderedPageBreak/>
              <w:t>應依下列規定辦理：</w:t>
            </w:r>
          </w:p>
          <w:p w:rsidR="00EE5689"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EE5689" w:rsidRPr="00390130">
              <w:rPr>
                <w:rFonts w:eastAsia="標楷體"/>
              </w:rPr>
              <w:t>一</w:t>
            </w:r>
            <w:r>
              <w:rPr>
                <w:rFonts w:eastAsia="標楷體" w:hint="eastAsia"/>
              </w:rPr>
              <w:t>)</w:t>
            </w:r>
            <w:r w:rsidR="00EE5689" w:rsidRPr="00390130">
              <w:rPr>
                <w:rFonts w:eastAsia="標楷體"/>
              </w:rPr>
              <w:t>若精算假設變動致使各項簽證項目之測試結果有顯著影響時，應評估其影響數，且揭露於精算意見書。</w:t>
            </w:r>
          </w:p>
          <w:p w:rsidR="00EE5689" w:rsidRPr="00390130" w:rsidRDefault="00EE5689" w:rsidP="00390130">
            <w:pPr>
              <w:kinsoku w:val="0"/>
              <w:overflowPunct w:val="0"/>
              <w:spacing w:line="440" w:lineRule="exact"/>
              <w:ind w:leftChars="300" w:left="1440" w:hangingChars="300" w:hanging="720"/>
              <w:jc w:val="both"/>
              <w:textAlignment w:val="center"/>
              <w:rPr>
                <w:rFonts w:eastAsia="標楷體"/>
              </w:rPr>
            </w:pPr>
          </w:p>
          <w:p w:rsidR="00EE5689" w:rsidRPr="00390130" w:rsidRDefault="00EE5689" w:rsidP="00390130">
            <w:pPr>
              <w:kinsoku w:val="0"/>
              <w:overflowPunct w:val="0"/>
              <w:spacing w:line="440" w:lineRule="exact"/>
              <w:ind w:leftChars="300" w:left="1440" w:hangingChars="300" w:hanging="720"/>
              <w:jc w:val="both"/>
              <w:textAlignment w:val="center"/>
              <w:rPr>
                <w:rFonts w:eastAsia="標楷體"/>
              </w:rPr>
            </w:pPr>
          </w:p>
          <w:p w:rsidR="00EE5689"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EE5689" w:rsidRPr="00390130">
              <w:rPr>
                <w:rFonts w:eastAsia="標楷體"/>
              </w:rPr>
              <w:t>二</w:t>
            </w:r>
            <w:r>
              <w:rPr>
                <w:rFonts w:eastAsia="標楷體" w:hint="eastAsia"/>
              </w:rPr>
              <w:t>)</w:t>
            </w:r>
            <w:r w:rsidR="00EE5689" w:rsidRPr="00390130">
              <w:rPr>
                <w:rFonts w:eastAsia="標楷體"/>
              </w:rPr>
              <w:t>若精算假設變動致使各項簽證項目之測試結果更趨保守時，僅須說明該變動之合理性及必要性。</w:t>
            </w:r>
          </w:p>
          <w:p w:rsidR="00EE5689" w:rsidRPr="00390130" w:rsidRDefault="00EE5689" w:rsidP="00390130">
            <w:pPr>
              <w:kinsoku w:val="0"/>
              <w:overflowPunct w:val="0"/>
              <w:spacing w:line="440" w:lineRule="exact"/>
              <w:ind w:leftChars="300" w:left="720"/>
              <w:jc w:val="both"/>
              <w:textAlignment w:val="center"/>
              <w:rPr>
                <w:rFonts w:eastAsia="標楷體"/>
              </w:rPr>
            </w:pPr>
            <w:r w:rsidRPr="00390130">
              <w:rPr>
                <w:rFonts w:eastAsia="標楷體"/>
              </w:rPr>
              <w:t>簽證精算人員應提出精算假設變動致使各簽證項目測試結果產生顯著影響之判斷標準。</w:t>
            </w:r>
          </w:p>
        </w:tc>
        <w:tc>
          <w:tcPr>
            <w:tcW w:w="3628" w:type="dxa"/>
          </w:tcPr>
          <w:p w:rsidR="00EE5689" w:rsidRPr="00390130" w:rsidRDefault="00EE5689" w:rsidP="00390130">
            <w:pPr>
              <w:kinsoku w:val="0"/>
              <w:overflowPunct w:val="0"/>
              <w:spacing w:line="440" w:lineRule="exact"/>
              <w:ind w:left="720" w:hangingChars="300" w:hanging="720"/>
              <w:jc w:val="both"/>
              <w:textAlignment w:val="center"/>
              <w:rPr>
                <w:rFonts w:eastAsia="標楷體"/>
              </w:rPr>
            </w:pPr>
            <w:r w:rsidRPr="00390130">
              <w:rPr>
                <w:rFonts w:eastAsia="標楷體"/>
              </w:rPr>
              <w:lastRenderedPageBreak/>
              <w:t>十四、簽證精算人員應檢附當年度與上年度之資產面假設對照表，除說明所採用之精算軟體外，至少應包括各類資產風險溢酬、違約成本、避險成本、新錢資產配置及最佳估計利率情境等資產面假設。若假設完全相同者，應說明其適當性；若有不一致者，應說明其原因及影響是否顯著。如有顯著影響，應以量化方式評估其影響程度</w:t>
            </w:r>
            <w:r w:rsidR="00390130">
              <w:rPr>
                <w:rFonts w:eastAsia="標楷體" w:hint="eastAsia"/>
              </w:rPr>
              <w:t>(</w:t>
            </w:r>
            <w:r w:rsidRPr="00390130">
              <w:rPr>
                <w:rFonts w:eastAsia="標楷體"/>
              </w:rPr>
              <w:t>準備金適足性測試之變動分析表詳指定附表</w:t>
            </w:r>
            <w:r w:rsidRPr="00390130">
              <w:rPr>
                <w:rFonts w:eastAsia="標楷體"/>
              </w:rPr>
              <w:t>15</w:t>
            </w:r>
            <w:r w:rsidR="00390130">
              <w:rPr>
                <w:rFonts w:eastAsia="標楷體" w:hint="eastAsia"/>
              </w:rPr>
              <w:t>)</w:t>
            </w:r>
            <w:r w:rsidRPr="00390130">
              <w:rPr>
                <w:rFonts w:eastAsia="標楷體"/>
              </w:rPr>
              <w:t>。</w:t>
            </w:r>
          </w:p>
          <w:p w:rsidR="00EE5689" w:rsidRPr="00390130" w:rsidRDefault="00EE5689" w:rsidP="00390130">
            <w:pPr>
              <w:kinsoku w:val="0"/>
              <w:overflowPunct w:val="0"/>
              <w:spacing w:line="440" w:lineRule="exact"/>
              <w:ind w:leftChars="300" w:left="720"/>
              <w:jc w:val="both"/>
              <w:textAlignment w:val="center"/>
              <w:rPr>
                <w:rFonts w:eastAsia="標楷體"/>
              </w:rPr>
            </w:pPr>
            <w:r w:rsidRPr="00390130">
              <w:rPr>
                <w:rFonts w:eastAsia="標楷體"/>
              </w:rPr>
              <w:t>除因法令或主管機關或其指定機構公告之基礎情境而變動外，簽證精算人員</w:t>
            </w:r>
            <w:r w:rsidRPr="00390130">
              <w:rPr>
                <w:rFonts w:eastAsia="標楷體"/>
              </w:rPr>
              <w:lastRenderedPageBreak/>
              <w:t>應依下列規定辦理：</w:t>
            </w:r>
          </w:p>
          <w:p w:rsidR="00EE5689" w:rsidRPr="00390130" w:rsidRDefault="00390130" w:rsidP="00390130">
            <w:pPr>
              <w:kinsoku w:val="0"/>
              <w:overflowPunct w:val="0"/>
              <w:spacing w:line="440" w:lineRule="exact"/>
              <w:ind w:leftChars="299" w:left="1188" w:hangingChars="196" w:hanging="470"/>
              <w:jc w:val="both"/>
              <w:textAlignment w:val="center"/>
              <w:rPr>
                <w:rFonts w:eastAsia="標楷體"/>
              </w:rPr>
            </w:pPr>
            <w:r>
              <w:rPr>
                <w:rFonts w:eastAsia="標楷體" w:hint="eastAsia"/>
              </w:rPr>
              <w:t>(</w:t>
            </w:r>
            <w:r w:rsidR="00EE5689" w:rsidRPr="00390130">
              <w:rPr>
                <w:rFonts w:eastAsia="標楷體"/>
              </w:rPr>
              <w:t>一</w:t>
            </w:r>
            <w:r>
              <w:rPr>
                <w:rFonts w:eastAsia="標楷體" w:hint="eastAsia"/>
              </w:rPr>
              <w:t>)</w:t>
            </w:r>
            <w:r w:rsidR="00EE5689" w:rsidRPr="00390130">
              <w:rPr>
                <w:rFonts w:eastAsia="標楷體"/>
              </w:rPr>
              <w:t>若精算假設變動致使各項簽證項目之測試結果有顯著影響時，應評估其影響數，且揭露於精算意見書</w:t>
            </w:r>
            <w:r w:rsidR="00EE5689" w:rsidRPr="00390130">
              <w:rPr>
                <w:rFonts w:eastAsia="標楷體"/>
                <w:u w:val="single"/>
              </w:rPr>
              <w:t>，並應報經董事會決議通過</w:t>
            </w:r>
            <w:r w:rsidR="00EE5689" w:rsidRPr="00390130">
              <w:rPr>
                <w:rFonts w:eastAsia="標楷體"/>
              </w:rPr>
              <w:t>。</w:t>
            </w:r>
          </w:p>
          <w:p w:rsidR="00EE5689" w:rsidRPr="00390130" w:rsidRDefault="00390130" w:rsidP="00390130">
            <w:pPr>
              <w:kinsoku w:val="0"/>
              <w:overflowPunct w:val="0"/>
              <w:spacing w:line="440" w:lineRule="exact"/>
              <w:ind w:leftChars="299" w:left="1188" w:hangingChars="196" w:hanging="470"/>
              <w:jc w:val="both"/>
              <w:textAlignment w:val="center"/>
              <w:rPr>
                <w:rFonts w:eastAsia="標楷體"/>
              </w:rPr>
            </w:pPr>
            <w:r>
              <w:rPr>
                <w:rFonts w:eastAsia="標楷體" w:hint="eastAsia"/>
              </w:rPr>
              <w:t>(</w:t>
            </w:r>
            <w:r w:rsidR="00EE5689" w:rsidRPr="00390130">
              <w:rPr>
                <w:rFonts w:eastAsia="標楷體"/>
              </w:rPr>
              <w:t>二</w:t>
            </w:r>
            <w:r>
              <w:rPr>
                <w:rFonts w:eastAsia="標楷體" w:hint="eastAsia"/>
              </w:rPr>
              <w:t>)</w:t>
            </w:r>
            <w:r w:rsidR="00EE5689" w:rsidRPr="00390130">
              <w:rPr>
                <w:rFonts w:eastAsia="標楷體"/>
              </w:rPr>
              <w:t>若精算假設變動致使各項簽證項目之測試結果更趨保守時，僅須說明該變動之合理性及必要性。</w:t>
            </w:r>
          </w:p>
          <w:p w:rsidR="00EE5689" w:rsidRPr="00390130" w:rsidRDefault="00EE5689" w:rsidP="00390130">
            <w:pPr>
              <w:kinsoku w:val="0"/>
              <w:overflowPunct w:val="0"/>
              <w:spacing w:line="440" w:lineRule="exact"/>
              <w:ind w:leftChars="300" w:left="720"/>
              <w:jc w:val="both"/>
              <w:textAlignment w:val="center"/>
              <w:rPr>
                <w:rFonts w:eastAsia="標楷體"/>
              </w:rPr>
            </w:pPr>
            <w:r w:rsidRPr="00390130">
              <w:rPr>
                <w:rFonts w:eastAsia="標楷體"/>
              </w:rPr>
              <w:t>簽證精算人員應提出精算假設變動致使各簽證項目測試結果產生顯著影響之判斷標準。</w:t>
            </w:r>
          </w:p>
        </w:tc>
        <w:tc>
          <w:tcPr>
            <w:tcW w:w="2154" w:type="dxa"/>
          </w:tcPr>
          <w:p w:rsidR="00EE5689" w:rsidRPr="00390130" w:rsidRDefault="00390130" w:rsidP="00CA6EC2">
            <w:pPr>
              <w:kinsoku w:val="0"/>
              <w:overflowPunct w:val="0"/>
              <w:spacing w:line="440" w:lineRule="exact"/>
              <w:jc w:val="both"/>
              <w:textAlignment w:val="center"/>
              <w:rPr>
                <w:rFonts w:eastAsia="標楷體"/>
              </w:rPr>
            </w:pPr>
            <w:r>
              <w:rPr>
                <w:rFonts w:eastAsia="標楷體" w:hint="eastAsia"/>
              </w:rPr>
              <w:lastRenderedPageBreak/>
              <w:t>關於第</w:t>
            </w:r>
            <w:r>
              <w:rPr>
                <w:rFonts w:eastAsia="標楷體" w:hint="eastAsia"/>
              </w:rPr>
              <w:t>2</w:t>
            </w:r>
            <w:r>
              <w:rPr>
                <w:rFonts w:eastAsia="標楷體" w:hint="eastAsia"/>
              </w:rPr>
              <w:t>項第</w:t>
            </w:r>
            <w:r>
              <w:rPr>
                <w:rFonts w:eastAsia="標楷體" w:hint="eastAsia"/>
              </w:rPr>
              <w:t>1</w:t>
            </w:r>
            <w:r>
              <w:rPr>
                <w:rFonts w:eastAsia="標楷體" w:hint="eastAsia"/>
              </w:rPr>
              <w:t>款</w:t>
            </w:r>
            <w:r w:rsidR="00EE5689" w:rsidRPr="00390130">
              <w:rPr>
                <w:rFonts w:eastAsia="標楷體"/>
              </w:rPr>
              <w:t>精算假設變動導致各項簽證</w:t>
            </w:r>
            <w:r w:rsidR="006C438D" w:rsidRPr="00390130">
              <w:rPr>
                <w:rFonts w:eastAsia="標楷體"/>
              </w:rPr>
              <w:t>項目測試結果有顯著影響</w:t>
            </w:r>
            <w:r w:rsidR="00866F61" w:rsidRPr="00390130">
              <w:rPr>
                <w:rFonts w:eastAsia="標楷體"/>
              </w:rPr>
              <w:t>時</w:t>
            </w:r>
            <w:r>
              <w:rPr>
                <w:rFonts w:eastAsia="標楷體" w:hint="eastAsia"/>
              </w:rPr>
              <w:t>需</w:t>
            </w:r>
            <w:r w:rsidR="006C438D" w:rsidRPr="00390130">
              <w:rPr>
                <w:rFonts w:eastAsia="標楷體"/>
              </w:rPr>
              <w:t>揭露於精算意見書</w:t>
            </w:r>
            <w:r>
              <w:rPr>
                <w:rFonts w:eastAsia="標楷體" w:hint="eastAsia"/>
              </w:rPr>
              <w:t>並報經</w:t>
            </w:r>
            <w:r w:rsidR="00866F61" w:rsidRPr="00390130">
              <w:rPr>
                <w:rFonts w:eastAsia="標楷體"/>
              </w:rPr>
              <w:t>董事會</w:t>
            </w:r>
            <w:r>
              <w:rPr>
                <w:rFonts w:eastAsia="標楷體" w:hint="eastAsia"/>
              </w:rPr>
              <w:t>通過一節，</w:t>
            </w:r>
            <w:bookmarkStart w:id="1" w:name="_GoBack"/>
            <w:bookmarkEnd w:id="1"/>
            <w:r>
              <w:rPr>
                <w:rFonts w:eastAsia="標楷體" w:hint="eastAsia"/>
              </w:rPr>
              <w:t>回歸由專業人員自律控管決定，但仍應記載於精算意見書</w:t>
            </w:r>
            <w:r w:rsidR="00866F61" w:rsidRPr="00390130">
              <w:rPr>
                <w:rFonts w:eastAsia="標楷體"/>
              </w:rPr>
              <w:t>，故</w:t>
            </w:r>
            <w:r w:rsidR="00EE5689" w:rsidRPr="00390130">
              <w:rPr>
                <w:rFonts w:eastAsia="標楷體"/>
              </w:rPr>
              <w:t>刪除</w:t>
            </w:r>
            <w:r w:rsidR="00866F61" w:rsidRPr="00390130">
              <w:rPr>
                <w:rFonts w:eastAsia="標楷體"/>
              </w:rPr>
              <w:t>「</w:t>
            </w:r>
            <w:r w:rsidR="00EE5689" w:rsidRPr="00390130">
              <w:rPr>
                <w:rFonts w:eastAsia="標楷體"/>
              </w:rPr>
              <w:t>並應報經董事會決議通過</w:t>
            </w:r>
            <w:r w:rsidR="006C438D" w:rsidRPr="00390130">
              <w:rPr>
                <w:rFonts w:eastAsia="標楷體"/>
              </w:rPr>
              <w:t>」</w:t>
            </w:r>
            <w:r>
              <w:rPr>
                <w:rFonts w:eastAsia="標楷體" w:hint="eastAsia"/>
              </w:rPr>
              <w:t>等文字</w:t>
            </w:r>
            <w:r w:rsidR="00EE5689" w:rsidRPr="00390130">
              <w:rPr>
                <w:rFonts w:eastAsia="標楷體"/>
              </w:rPr>
              <w:t>。</w:t>
            </w:r>
          </w:p>
        </w:tc>
      </w:tr>
      <w:tr w:rsidR="00390130" w:rsidRPr="00390130" w:rsidTr="00390130">
        <w:trPr>
          <w:trHeight w:val="20"/>
        </w:trPr>
        <w:tc>
          <w:tcPr>
            <w:tcW w:w="3628" w:type="dxa"/>
          </w:tcPr>
          <w:p w:rsidR="00F27636" w:rsidRPr="00390130" w:rsidRDefault="00F27636" w:rsidP="00390130">
            <w:pPr>
              <w:kinsoku w:val="0"/>
              <w:overflowPunct w:val="0"/>
              <w:spacing w:line="440" w:lineRule="exact"/>
              <w:ind w:left="720" w:hangingChars="300" w:hanging="720"/>
              <w:jc w:val="both"/>
              <w:textAlignment w:val="center"/>
              <w:rPr>
                <w:rFonts w:eastAsia="標楷體"/>
              </w:rPr>
            </w:pPr>
            <w:r w:rsidRPr="00390130">
              <w:rPr>
                <w:rFonts w:eastAsia="標楷體"/>
              </w:rPr>
              <w:lastRenderedPageBreak/>
              <w:t>十五、簽證精算人員應提供下列各款精算假設之數值及其依據，且檢附在相同比較基礎下精算假設與過去實際經驗之對照表，並說明其合理性。</w:t>
            </w:r>
          </w:p>
          <w:p w:rsidR="00F27636"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F27636" w:rsidRPr="00390130">
              <w:rPr>
                <w:rFonts w:eastAsia="標楷體"/>
              </w:rPr>
              <w:t>一</w:t>
            </w:r>
            <w:r>
              <w:rPr>
                <w:rFonts w:eastAsia="標楷體" w:hint="eastAsia"/>
              </w:rPr>
              <w:t>)</w:t>
            </w:r>
            <w:r w:rsidR="00F27636" w:rsidRPr="00390130">
              <w:rPr>
                <w:rFonts w:eastAsia="標楷體"/>
              </w:rPr>
              <w:t>脫退率，實際經驗至少提供</w:t>
            </w:r>
            <w:r w:rsidR="00F27636" w:rsidRPr="00390130">
              <w:rPr>
                <w:rFonts w:eastAsia="標楷體"/>
              </w:rPr>
              <w:t>3</w:t>
            </w:r>
            <w:r w:rsidR="00F27636" w:rsidRPr="00390130">
              <w:rPr>
                <w:rFonts w:eastAsia="標楷體"/>
              </w:rPr>
              <w:t>年</w:t>
            </w:r>
            <w:r>
              <w:rPr>
                <w:rFonts w:eastAsia="標楷體" w:hint="eastAsia"/>
              </w:rPr>
              <w:t>(</w:t>
            </w:r>
            <w:r w:rsidR="00F27636" w:rsidRPr="00390130">
              <w:rPr>
                <w:rFonts w:eastAsia="標楷體"/>
              </w:rPr>
              <w:t>含</w:t>
            </w:r>
            <w:r>
              <w:rPr>
                <w:rFonts w:eastAsia="標楷體" w:hint="eastAsia"/>
              </w:rPr>
              <w:t>)</w:t>
            </w:r>
            <w:r w:rsidR="00F27636" w:rsidRPr="00390130">
              <w:rPr>
                <w:rFonts w:eastAsia="標楷體"/>
              </w:rPr>
              <w:t>以上觀察期間之各年度之數值與合計值。</w:t>
            </w:r>
          </w:p>
          <w:p w:rsidR="00F27636"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F27636" w:rsidRPr="00390130">
              <w:rPr>
                <w:rFonts w:eastAsia="標楷體"/>
              </w:rPr>
              <w:t>二</w:t>
            </w:r>
            <w:r>
              <w:rPr>
                <w:rFonts w:eastAsia="標楷體" w:hint="eastAsia"/>
              </w:rPr>
              <w:t>)</w:t>
            </w:r>
            <w:r w:rsidR="00F27636" w:rsidRPr="00390130">
              <w:rPr>
                <w:rFonts w:eastAsia="標楷體"/>
              </w:rPr>
              <w:t>死亡率，實際經驗提供足夠觀察期間合併後之</w:t>
            </w:r>
            <w:r w:rsidR="00F27636" w:rsidRPr="00390130">
              <w:rPr>
                <w:rFonts w:eastAsia="標楷體"/>
              </w:rPr>
              <w:t>10</w:t>
            </w:r>
            <w:r w:rsidR="00F27636" w:rsidRPr="00390130">
              <w:rPr>
                <w:rFonts w:eastAsia="標楷體"/>
              </w:rPr>
              <w:t>年</w:t>
            </w:r>
            <w:r w:rsidR="00940BD3">
              <w:rPr>
                <w:rFonts w:eastAsia="標楷體" w:hint="eastAsia"/>
              </w:rPr>
              <w:t>(</w:t>
            </w:r>
            <w:r w:rsidR="00F27636" w:rsidRPr="00390130">
              <w:rPr>
                <w:rFonts w:eastAsia="標楷體"/>
              </w:rPr>
              <w:t>含</w:t>
            </w:r>
            <w:r w:rsidR="00940BD3">
              <w:rPr>
                <w:rFonts w:eastAsia="標楷體" w:hint="eastAsia"/>
              </w:rPr>
              <w:t>)</w:t>
            </w:r>
            <w:r w:rsidR="00F27636" w:rsidRPr="00390130">
              <w:rPr>
                <w:rFonts w:eastAsia="標楷體"/>
              </w:rPr>
              <w:t>以上保</w:t>
            </w:r>
            <w:r w:rsidR="00F27636" w:rsidRPr="00390130">
              <w:rPr>
                <w:rFonts w:eastAsia="標楷體"/>
              </w:rPr>
              <w:lastRenderedPageBreak/>
              <w:t>單年度數值。</w:t>
            </w:r>
          </w:p>
          <w:p w:rsidR="00F27636"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F27636" w:rsidRPr="00390130">
              <w:rPr>
                <w:rFonts w:eastAsia="標楷體"/>
              </w:rPr>
              <w:t>三</w:t>
            </w:r>
            <w:r>
              <w:rPr>
                <w:rFonts w:eastAsia="標楷體" w:hint="eastAsia"/>
              </w:rPr>
              <w:t>)</w:t>
            </w:r>
            <w:r w:rsidR="00F27636" w:rsidRPr="00390130">
              <w:rPr>
                <w:rFonts w:eastAsia="標楷體"/>
              </w:rPr>
              <w:t>罹病率，實際經驗至少提供</w:t>
            </w:r>
            <w:r w:rsidR="00F27636" w:rsidRPr="00390130">
              <w:rPr>
                <w:rFonts w:eastAsia="標楷體"/>
              </w:rPr>
              <w:t>10</w:t>
            </w:r>
            <w:r w:rsidR="00F27636" w:rsidRPr="00390130">
              <w:rPr>
                <w:rFonts w:eastAsia="標楷體"/>
              </w:rPr>
              <w:t>年</w:t>
            </w:r>
            <w:r>
              <w:rPr>
                <w:rFonts w:eastAsia="標楷體" w:hint="eastAsia"/>
              </w:rPr>
              <w:t>(</w:t>
            </w:r>
            <w:r w:rsidR="00F27636" w:rsidRPr="00390130">
              <w:rPr>
                <w:rFonts w:eastAsia="標楷體"/>
              </w:rPr>
              <w:t>含</w:t>
            </w:r>
            <w:r>
              <w:rPr>
                <w:rFonts w:eastAsia="標楷體" w:hint="eastAsia"/>
              </w:rPr>
              <w:t>)</w:t>
            </w:r>
            <w:r w:rsidR="00F27636" w:rsidRPr="00390130">
              <w:rPr>
                <w:rFonts w:eastAsia="標楷體"/>
              </w:rPr>
              <w:t>以上觀察期間及保單年度之數值與合計值</w:t>
            </w:r>
            <w:r>
              <w:rPr>
                <w:rFonts w:eastAsia="標楷體" w:hint="eastAsia"/>
              </w:rPr>
              <w:t>(</w:t>
            </w:r>
            <w:r w:rsidR="00F27636" w:rsidRPr="00390130">
              <w:rPr>
                <w:rFonts w:eastAsia="標楷體"/>
              </w:rPr>
              <w:t>含分子及分母之數值</w:t>
            </w:r>
            <w:r>
              <w:rPr>
                <w:rFonts w:eastAsia="標楷體" w:hint="eastAsia"/>
              </w:rPr>
              <w:t>)</w:t>
            </w:r>
            <w:r w:rsidR="00F27636" w:rsidRPr="00390130">
              <w:rPr>
                <w:rFonts w:eastAsia="標楷體"/>
              </w:rPr>
              <w:t>。</w:t>
            </w:r>
          </w:p>
          <w:p w:rsidR="00F27636"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F27636" w:rsidRPr="00390130">
              <w:rPr>
                <w:rFonts w:eastAsia="標楷體"/>
              </w:rPr>
              <w:t>四</w:t>
            </w:r>
            <w:r>
              <w:rPr>
                <w:rFonts w:eastAsia="標楷體" w:hint="eastAsia"/>
              </w:rPr>
              <w:t>)</w:t>
            </w:r>
            <w:r w:rsidR="00F27636" w:rsidRPr="00390130">
              <w:rPr>
                <w:rFonts w:eastAsia="標楷體"/>
              </w:rPr>
              <w:t>費用</w:t>
            </w:r>
            <w:r>
              <w:rPr>
                <w:rFonts w:eastAsia="標楷體" w:hint="eastAsia"/>
              </w:rPr>
              <w:t>(</w:t>
            </w:r>
            <w:r w:rsidR="00F27636" w:rsidRPr="00390130">
              <w:rPr>
                <w:rFonts w:eastAsia="標楷體"/>
              </w:rPr>
              <w:t>詳指定附表</w:t>
            </w:r>
            <w:r w:rsidR="00F27636" w:rsidRPr="00390130">
              <w:rPr>
                <w:rFonts w:eastAsia="標楷體"/>
              </w:rPr>
              <w:t>14</w:t>
            </w:r>
            <w:r>
              <w:rPr>
                <w:rFonts w:eastAsia="標楷體" w:hint="eastAsia"/>
              </w:rPr>
              <w:t>)</w:t>
            </w:r>
            <w:r w:rsidR="00F27636" w:rsidRPr="00390130">
              <w:rPr>
                <w:rFonts w:eastAsia="標楷體"/>
              </w:rPr>
              <w:t>。</w:t>
            </w:r>
          </w:p>
          <w:p w:rsidR="00F27636"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F27636" w:rsidRPr="00390130">
              <w:rPr>
                <w:rFonts w:eastAsia="標楷體"/>
              </w:rPr>
              <w:t>五</w:t>
            </w:r>
            <w:r>
              <w:rPr>
                <w:rFonts w:eastAsia="標楷體" w:hint="eastAsia"/>
              </w:rPr>
              <w:t>)</w:t>
            </w:r>
            <w:r w:rsidR="00F27636" w:rsidRPr="00390130">
              <w:rPr>
                <w:rFonts w:eastAsia="標楷體"/>
              </w:rPr>
              <w:t>分紅，包含強制分紅及自由分紅。</w:t>
            </w:r>
          </w:p>
          <w:p w:rsidR="00F27636"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F27636" w:rsidRPr="00390130">
              <w:rPr>
                <w:rFonts w:eastAsia="標楷體"/>
              </w:rPr>
              <w:t>六</w:t>
            </w:r>
            <w:r>
              <w:rPr>
                <w:rFonts w:eastAsia="標楷體" w:hint="eastAsia"/>
              </w:rPr>
              <w:t>)</w:t>
            </w:r>
            <w:r w:rsidR="00F27636" w:rsidRPr="00390130">
              <w:rPr>
                <w:rFonts w:eastAsia="標楷體"/>
              </w:rPr>
              <w:t>其他。</w:t>
            </w:r>
          </w:p>
          <w:p w:rsidR="00F27636" w:rsidRPr="00390130" w:rsidRDefault="00F27636" w:rsidP="00390130">
            <w:pPr>
              <w:kinsoku w:val="0"/>
              <w:overflowPunct w:val="0"/>
              <w:spacing w:line="440" w:lineRule="exact"/>
              <w:ind w:leftChars="300" w:left="720"/>
              <w:jc w:val="both"/>
              <w:textAlignment w:val="center"/>
              <w:rPr>
                <w:rFonts w:eastAsia="標楷體"/>
              </w:rPr>
            </w:pPr>
            <w:r w:rsidRPr="00390130">
              <w:rPr>
                <w:rFonts w:eastAsia="標楷體"/>
              </w:rPr>
              <w:t>前項第一款脫退率應分析保險商品因銷售方式導致保戶之可能脫退情形，包括考量商品特性分析繳費年期、解約費用收取年期及通路別等脫退率經驗值，</w:t>
            </w:r>
            <w:r w:rsidR="00452AD7" w:rsidRPr="00390130">
              <w:rPr>
                <w:rFonts w:eastAsia="標楷體"/>
                <w:u w:val="single"/>
              </w:rPr>
              <w:t>且應分析脫退率納入費率計算之健康險脫退率經驗值，</w:t>
            </w:r>
            <w:r w:rsidRPr="00390130">
              <w:rPr>
                <w:rFonts w:eastAsia="標楷體"/>
              </w:rPr>
              <w:t>並應適切整併脫退率經驗值以擬定最適脫退率假設。</w:t>
            </w:r>
          </w:p>
          <w:p w:rsidR="00F27636" w:rsidRPr="00390130" w:rsidRDefault="00F27636" w:rsidP="00390130">
            <w:pPr>
              <w:kinsoku w:val="0"/>
              <w:overflowPunct w:val="0"/>
              <w:spacing w:line="440" w:lineRule="exact"/>
              <w:ind w:leftChars="300" w:left="720"/>
              <w:jc w:val="both"/>
              <w:textAlignment w:val="center"/>
              <w:rPr>
                <w:rFonts w:eastAsia="標楷體"/>
              </w:rPr>
            </w:pPr>
            <w:r w:rsidRPr="00390130">
              <w:rPr>
                <w:rFonts w:eastAsia="標楷體"/>
              </w:rPr>
              <w:t>第一項第二款死亡率及第三款罹病率</w:t>
            </w:r>
            <w:r w:rsidR="00390130" w:rsidRPr="00390130">
              <w:rPr>
                <w:rFonts w:eastAsia="標楷體" w:hint="eastAsia"/>
                <w:u w:val="single"/>
              </w:rPr>
              <w:t>(</w:t>
            </w:r>
            <w:r w:rsidR="00452AD7" w:rsidRPr="00390130">
              <w:rPr>
                <w:rFonts w:eastAsia="標楷體"/>
                <w:u w:val="single"/>
              </w:rPr>
              <w:t>包含短年期附約</w:t>
            </w:r>
            <w:r w:rsidR="00390130">
              <w:rPr>
                <w:rFonts w:eastAsia="標楷體" w:hint="eastAsia"/>
                <w:u w:val="single"/>
              </w:rPr>
              <w:t>)</w:t>
            </w:r>
            <w:r w:rsidRPr="00390130">
              <w:rPr>
                <w:rFonts w:eastAsia="標楷體"/>
              </w:rPr>
              <w:t>應考慮檢選效果消失後之狀況，且在考慮未來發展趨勢時，應排除新契約檢選效果之影響，以訂定最適精算假設，並應說明</w:t>
            </w:r>
            <w:r w:rsidR="00452AD7" w:rsidRPr="00390130">
              <w:rPr>
                <w:rFonts w:eastAsia="標楷體"/>
                <w:u w:val="single"/>
              </w:rPr>
              <w:t>惡化率趨勢分析及惡</w:t>
            </w:r>
            <w:r w:rsidR="00452AD7" w:rsidRPr="00390130">
              <w:rPr>
                <w:rFonts w:eastAsia="標楷體"/>
                <w:u w:val="single"/>
              </w:rPr>
              <w:lastRenderedPageBreak/>
              <w:t>化年度</w:t>
            </w:r>
            <w:r w:rsidRPr="00390130">
              <w:rPr>
                <w:rFonts w:eastAsia="標楷體"/>
              </w:rPr>
              <w:t>評估方法及相關依據。</w:t>
            </w:r>
          </w:p>
          <w:p w:rsidR="009055C4" w:rsidRPr="00390130" w:rsidRDefault="00F27636" w:rsidP="00390130">
            <w:pPr>
              <w:kinsoku w:val="0"/>
              <w:overflowPunct w:val="0"/>
              <w:spacing w:line="440" w:lineRule="exact"/>
              <w:ind w:leftChars="300" w:left="720"/>
              <w:jc w:val="both"/>
              <w:textAlignment w:val="center"/>
              <w:rPr>
                <w:rFonts w:eastAsia="標楷體"/>
              </w:rPr>
            </w:pPr>
            <w:r w:rsidRPr="00390130">
              <w:rPr>
                <w:rFonts w:eastAsia="標楷體"/>
              </w:rPr>
              <w:t>如因銷售期間不足第一項第一款至第三款規定之年數者，則應提供最長之統計期間。</w:t>
            </w:r>
          </w:p>
        </w:tc>
        <w:tc>
          <w:tcPr>
            <w:tcW w:w="3628" w:type="dxa"/>
          </w:tcPr>
          <w:p w:rsidR="009055C4" w:rsidRPr="00390130" w:rsidRDefault="009055C4" w:rsidP="00390130">
            <w:pPr>
              <w:kinsoku w:val="0"/>
              <w:overflowPunct w:val="0"/>
              <w:spacing w:line="440" w:lineRule="exact"/>
              <w:ind w:left="720" w:hangingChars="300" w:hanging="720"/>
              <w:jc w:val="both"/>
              <w:textAlignment w:val="center"/>
              <w:rPr>
                <w:rFonts w:eastAsia="標楷體"/>
              </w:rPr>
            </w:pPr>
            <w:r w:rsidRPr="00390130">
              <w:rPr>
                <w:rFonts w:eastAsia="標楷體"/>
              </w:rPr>
              <w:lastRenderedPageBreak/>
              <w:t>十五、簽證精算人員應提供下列各款精算假設之數值及其依據，且檢附在相同比較基礎下精算假設與過去實際經驗之對照表，並說明其合理性。</w:t>
            </w:r>
          </w:p>
          <w:p w:rsidR="009055C4"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9055C4" w:rsidRPr="00390130">
              <w:rPr>
                <w:rFonts w:eastAsia="標楷體"/>
              </w:rPr>
              <w:t>一</w:t>
            </w:r>
            <w:r>
              <w:rPr>
                <w:rFonts w:eastAsia="標楷體" w:hint="eastAsia"/>
              </w:rPr>
              <w:t>)</w:t>
            </w:r>
            <w:r w:rsidR="009055C4" w:rsidRPr="00390130">
              <w:rPr>
                <w:rFonts w:eastAsia="標楷體"/>
              </w:rPr>
              <w:t>脫退率，實際經驗至少提供</w:t>
            </w:r>
            <w:r w:rsidR="009055C4" w:rsidRPr="00390130">
              <w:rPr>
                <w:rFonts w:eastAsia="標楷體"/>
              </w:rPr>
              <w:t>3</w:t>
            </w:r>
            <w:r w:rsidR="009055C4" w:rsidRPr="00390130">
              <w:rPr>
                <w:rFonts w:eastAsia="標楷體"/>
              </w:rPr>
              <w:t>年</w:t>
            </w:r>
            <w:r>
              <w:rPr>
                <w:rFonts w:eastAsia="標楷體" w:hint="eastAsia"/>
              </w:rPr>
              <w:t>(</w:t>
            </w:r>
            <w:r w:rsidR="009055C4" w:rsidRPr="00390130">
              <w:rPr>
                <w:rFonts w:eastAsia="標楷體"/>
              </w:rPr>
              <w:t>含</w:t>
            </w:r>
            <w:r>
              <w:rPr>
                <w:rFonts w:eastAsia="標楷體" w:hint="eastAsia"/>
              </w:rPr>
              <w:t>)</w:t>
            </w:r>
            <w:r w:rsidR="009055C4" w:rsidRPr="00390130">
              <w:rPr>
                <w:rFonts w:eastAsia="標楷體"/>
              </w:rPr>
              <w:t>以上觀察期間之各年度之數值與合計值。</w:t>
            </w:r>
          </w:p>
          <w:p w:rsidR="009055C4"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9055C4" w:rsidRPr="00390130">
              <w:rPr>
                <w:rFonts w:eastAsia="標楷體"/>
              </w:rPr>
              <w:t>二</w:t>
            </w:r>
            <w:r>
              <w:rPr>
                <w:rFonts w:eastAsia="標楷體" w:hint="eastAsia"/>
              </w:rPr>
              <w:t>)</w:t>
            </w:r>
            <w:r w:rsidR="009055C4" w:rsidRPr="00390130">
              <w:rPr>
                <w:rFonts w:eastAsia="標楷體"/>
              </w:rPr>
              <w:t>死亡率，實際經驗提供足夠觀察期間合併後之</w:t>
            </w:r>
            <w:r w:rsidR="009055C4" w:rsidRPr="00390130">
              <w:rPr>
                <w:rFonts w:eastAsia="標楷體"/>
              </w:rPr>
              <w:t>10</w:t>
            </w:r>
            <w:r w:rsidR="009055C4" w:rsidRPr="00390130">
              <w:rPr>
                <w:rFonts w:eastAsia="標楷體"/>
              </w:rPr>
              <w:t>年</w:t>
            </w:r>
            <w:r>
              <w:rPr>
                <w:rFonts w:eastAsia="標楷體" w:hint="eastAsia"/>
              </w:rPr>
              <w:t>(</w:t>
            </w:r>
            <w:r w:rsidR="009055C4" w:rsidRPr="00390130">
              <w:rPr>
                <w:rFonts w:eastAsia="標楷體"/>
              </w:rPr>
              <w:t>含</w:t>
            </w:r>
            <w:r>
              <w:rPr>
                <w:rFonts w:eastAsia="標楷體" w:hint="eastAsia"/>
              </w:rPr>
              <w:t>)</w:t>
            </w:r>
            <w:r w:rsidR="009055C4" w:rsidRPr="00390130">
              <w:rPr>
                <w:rFonts w:eastAsia="標楷體"/>
              </w:rPr>
              <w:t>以上保</w:t>
            </w:r>
            <w:r w:rsidR="009055C4" w:rsidRPr="00390130">
              <w:rPr>
                <w:rFonts w:eastAsia="標楷體"/>
              </w:rPr>
              <w:lastRenderedPageBreak/>
              <w:t>單年度數值。</w:t>
            </w:r>
          </w:p>
          <w:p w:rsidR="009055C4"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9055C4" w:rsidRPr="00390130">
              <w:rPr>
                <w:rFonts w:eastAsia="標楷體"/>
              </w:rPr>
              <w:t>三</w:t>
            </w:r>
            <w:r>
              <w:rPr>
                <w:rFonts w:eastAsia="標楷體" w:hint="eastAsia"/>
              </w:rPr>
              <w:t>)</w:t>
            </w:r>
            <w:r w:rsidR="009055C4" w:rsidRPr="00390130">
              <w:rPr>
                <w:rFonts w:eastAsia="標楷體"/>
              </w:rPr>
              <w:t>罹病率，實際經驗至少提供</w:t>
            </w:r>
            <w:r w:rsidR="009055C4" w:rsidRPr="00390130">
              <w:rPr>
                <w:rFonts w:eastAsia="標楷體"/>
              </w:rPr>
              <w:t>10</w:t>
            </w:r>
            <w:r w:rsidR="009055C4" w:rsidRPr="00390130">
              <w:rPr>
                <w:rFonts w:eastAsia="標楷體"/>
              </w:rPr>
              <w:t>年</w:t>
            </w:r>
            <w:r>
              <w:rPr>
                <w:rFonts w:eastAsia="標楷體" w:hint="eastAsia"/>
              </w:rPr>
              <w:t>(</w:t>
            </w:r>
            <w:r w:rsidR="009055C4" w:rsidRPr="00390130">
              <w:rPr>
                <w:rFonts w:eastAsia="標楷體"/>
              </w:rPr>
              <w:t>含</w:t>
            </w:r>
            <w:r>
              <w:rPr>
                <w:rFonts w:eastAsia="標楷體" w:hint="eastAsia"/>
              </w:rPr>
              <w:t>)</w:t>
            </w:r>
            <w:r w:rsidR="009055C4" w:rsidRPr="00390130">
              <w:rPr>
                <w:rFonts w:eastAsia="標楷體"/>
              </w:rPr>
              <w:t>以上觀察期間及保單年度之數值與合計值</w:t>
            </w:r>
            <w:r>
              <w:rPr>
                <w:rFonts w:eastAsia="標楷體" w:hint="eastAsia"/>
              </w:rPr>
              <w:t>(</w:t>
            </w:r>
            <w:r w:rsidR="009055C4" w:rsidRPr="00390130">
              <w:rPr>
                <w:rFonts w:eastAsia="標楷體"/>
              </w:rPr>
              <w:t>含分子及分母之數值</w:t>
            </w:r>
            <w:r>
              <w:rPr>
                <w:rFonts w:eastAsia="標楷體" w:hint="eastAsia"/>
              </w:rPr>
              <w:t>)</w:t>
            </w:r>
            <w:r w:rsidR="009055C4" w:rsidRPr="00390130">
              <w:rPr>
                <w:rFonts w:eastAsia="標楷體"/>
              </w:rPr>
              <w:t>。</w:t>
            </w:r>
          </w:p>
          <w:p w:rsidR="009055C4"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9055C4" w:rsidRPr="00390130">
              <w:rPr>
                <w:rFonts w:eastAsia="標楷體"/>
              </w:rPr>
              <w:t>四</w:t>
            </w:r>
            <w:r>
              <w:rPr>
                <w:rFonts w:eastAsia="標楷體" w:hint="eastAsia"/>
              </w:rPr>
              <w:t>)</w:t>
            </w:r>
            <w:r w:rsidR="009055C4" w:rsidRPr="00390130">
              <w:rPr>
                <w:rFonts w:eastAsia="標楷體"/>
              </w:rPr>
              <w:t>費用</w:t>
            </w:r>
            <w:r>
              <w:rPr>
                <w:rFonts w:eastAsia="標楷體" w:hint="eastAsia"/>
              </w:rPr>
              <w:t>(</w:t>
            </w:r>
            <w:r w:rsidR="009055C4" w:rsidRPr="00390130">
              <w:rPr>
                <w:rFonts w:eastAsia="標楷體"/>
              </w:rPr>
              <w:t>詳指定附表</w:t>
            </w:r>
            <w:r w:rsidR="009055C4" w:rsidRPr="00390130">
              <w:rPr>
                <w:rFonts w:eastAsia="標楷體"/>
              </w:rPr>
              <w:t>14</w:t>
            </w:r>
            <w:r>
              <w:rPr>
                <w:rFonts w:eastAsia="標楷體" w:hint="eastAsia"/>
              </w:rPr>
              <w:t>)</w:t>
            </w:r>
            <w:r w:rsidR="009055C4" w:rsidRPr="00390130">
              <w:rPr>
                <w:rFonts w:eastAsia="標楷體"/>
              </w:rPr>
              <w:t>。</w:t>
            </w:r>
          </w:p>
          <w:p w:rsidR="009055C4"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9055C4" w:rsidRPr="00390130">
              <w:rPr>
                <w:rFonts w:eastAsia="標楷體"/>
              </w:rPr>
              <w:t>五</w:t>
            </w:r>
            <w:r>
              <w:rPr>
                <w:rFonts w:eastAsia="標楷體" w:hint="eastAsia"/>
              </w:rPr>
              <w:t>)</w:t>
            </w:r>
            <w:r w:rsidR="009055C4" w:rsidRPr="00390130">
              <w:rPr>
                <w:rFonts w:eastAsia="標楷體"/>
              </w:rPr>
              <w:t>分紅，包含強制分紅及自由分紅。</w:t>
            </w:r>
          </w:p>
          <w:p w:rsidR="009055C4" w:rsidRPr="00390130" w:rsidRDefault="00390130" w:rsidP="00390130">
            <w:pPr>
              <w:kinsoku w:val="0"/>
              <w:overflowPunct w:val="0"/>
              <w:spacing w:line="440" w:lineRule="exact"/>
              <w:ind w:leftChars="299" w:left="1131" w:hangingChars="172" w:hanging="413"/>
              <w:jc w:val="both"/>
              <w:textAlignment w:val="center"/>
              <w:rPr>
                <w:rFonts w:eastAsia="標楷體"/>
              </w:rPr>
            </w:pPr>
            <w:r>
              <w:rPr>
                <w:rFonts w:eastAsia="標楷體" w:hint="eastAsia"/>
              </w:rPr>
              <w:t>(</w:t>
            </w:r>
            <w:r w:rsidR="009055C4" w:rsidRPr="00390130">
              <w:rPr>
                <w:rFonts w:eastAsia="標楷體"/>
              </w:rPr>
              <w:t>六</w:t>
            </w:r>
            <w:r>
              <w:rPr>
                <w:rFonts w:eastAsia="標楷體" w:hint="eastAsia"/>
              </w:rPr>
              <w:t>)</w:t>
            </w:r>
            <w:r w:rsidR="009055C4" w:rsidRPr="00390130">
              <w:rPr>
                <w:rFonts w:eastAsia="標楷體"/>
              </w:rPr>
              <w:t>其他。</w:t>
            </w:r>
          </w:p>
          <w:p w:rsidR="009055C4" w:rsidRPr="00390130" w:rsidRDefault="009055C4" w:rsidP="00390130">
            <w:pPr>
              <w:kinsoku w:val="0"/>
              <w:overflowPunct w:val="0"/>
              <w:spacing w:line="440" w:lineRule="exact"/>
              <w:ind w:leftChars="300" w:left="720"/>
              <w:jc w:val="both"/>
              <w:textAlignment w:val="center"/>
              <w:rPr>
                <w:rFonts w:eastAsia="標楷體"/>
              </w:rPr>
            </w:pPr>
            <w:r w:rsidRPr="00390130">
              <w:rPr>
                <w:rFonts w:eastAsia="標楷體"/>
              </w:rPr>
              <w:t>前項第一款脫退率應分析保險商品因銷售方式導致保戶之可能脫退情形，包括考量商品特性分析繳費年期、解約費用收取年期及通路別等脫退率經驗值，並應適切整併脫退率經驗值以擬定最適脫退率假設。</w:t>
            </w:r>
          </w:p>
          <w:p w:rsidR="00452AD7" w:rsidRPr="00390130" w:rsidRDefault="00452AD7" w:rsidP="00390130">
            <w:pPr>
              <w:kinsoku w:val="0"/>
              <w:overflowPunct w:val="0"/>
              <w:spacing w:line="440" w:lineRule="exact"/>
              <w:ind w:leftChars="300" w:left="720"/>
              <w:jc w:val="both"/>
              <w:textAlignment w:val="center"/>
              <w:rPr>
                <w:rFonts w:eastAsia="標楷體"/>
              </w:rPr>
            </w:pPr>
          </w:p>
          <w:p w:rsidR="00452AD7" w:rsidRPr="00390130" w:rsidRDefault="00452AD7" w:rsidP="00390130">
            <w:pPr>
              <w:kinsoku w:val="0"/>
              <w:overflowPunct w:val="0"/>
              <w:spacing w:line="440" w:lineRule="exact"/>
              <w:ind w:leftChars="300" w:left="720"/>
              <w:jc w:val="both"/>
              <w:textAlignment w:val="center"/>
              <w:rPr>
                <w:rFonts w:eastAsia="標楷體"/>
              </w:rPr>
            </w:pPr>
          </w:p>
          <w:p w:rsidR="009055C4" w:rsidRPr="00390130" w:rsidRDefault="009055C4" w:rsidP="00390130">
            <w:pPr>
              <w:kinsoku w:val="0"/>
              <w:overflowPunct w:val="0"/>
              <w:spacing w:line="440" w:lineRule="exact"/>
              <w:ind w:leftChars="300" w:left="720"/>
              <w:jc w:val="both"/>
              <w:textAlignment w:val="center"/>
              <w:rPr>
                <w:rFonts w:eastAsia="標楷體"/>
              </w:rPr>
            </w:pPr>
            <w:r w:rsidRPr="00390130">
              <w:rPr>
                <w:rFonts w:eastAsia="標楷體"/>
              </w:rPr>
              <w:t>第一項第二款死亡率及第三款罹病率應考慮檢選效果消失後之狀況，且在考慮未來發展趨勢時，應排除新契約檢選效果之影響，以訂定最適精算假設，並應說明</w:t>
            </w:r>
            <w:r w:rsidRPr="00390130">
              <w:rPr>
                <w:rFonts w:eastAsia="標楷體"/>
                <w:u w:val="single"/>
              </w:rPr>
              <w:t>其</w:t>
            </w:r>
            <w:r w:rsidRPr="00390130">
              <w:rPr>
                <w:rFonts w:eastAsia="標楷體"/>
              </w:rPr>
              <w:t>評估方法及相關依據。</w:t>
            </w:r>
          </w:p>
          <w:p w:rsidR="00452AD7" w:rsidRPr="00390130" w:rsidRDefault="00452AD7" w:rsidP="00390130">
            <w:pPr>
              <w:kinsoku w:val="0"/>
              <w:overflowPunct w:val="0"/>
              <w:spacing w:line="440" w:lineRule="exact"/>
              <w:ind w:leftChars="300" w:left="720"/>
              <w:jc w:val="both"/>
              <w:textAlignment w:val="center"/>
              <w:rPr>
                <w:rFonts w:eastAsia="標楷體"/>
              </w:rPr>
            </w:pPr>
          </w:p>
          <w:p w:rsidR="00452AD7" w:rsidRPr="00390130" w:rsidRDefault="00452AD7" w:rsidP="00390130">
            <w:pPr>
              <w:kinsoku w:val="0"/>
              <w:overflowPunct w:val="0"/>
              <w:spacing w:line="440" w:lineRule="exact"/>
              <w:ind w:leftChars="300" w:left="720"/>
              <w:jc w:val="both"/>
              <w:textAlignment w:val="center"/>
              <w:rPr>
                <w:rFonts w:eastAsia="標楷體"/>
              </w:rPr>
            </w:pPr>
          </w:p>
          <w:p w:rsidR="009055C4" w:rsidRPr="00390130" w:rsidRDefault="009055C4" w:rsidP="00390130">
            <w:pPr>
              <w:kinsoku w:val="0"/>
              <w:overflowPunct w:val="0"/>
              <w:spacing w:line="440" w:lineRule="exact"/>
              <w:ind w:leftChars="300" w:left="720"/>
              <w:jc w:val="both"/>
              <w:textAlignment w:val="center"/>
              <w:rPr>
                <w:rFonts w:eastAsia="標楷體"/>
              </w:rPr>
            </w:pPr>
            <w:r w:rsidRPr="00390130">
              <w:rPr>
                <w:rFonts w:eastAsia="標楷體"/>
              </w:rPr>
              <w:t>如因銷售期間不足第一項第一款至第三款規定之年數者，則應提供最長之統計期間。</w:t>
            </w:r>
          </w:p>
        </w:tc>
        <w:tc>
          <w:tcPr>
            <w:tcW w:w="2154" w:type="dxa"/>
          </w:tcPr>
          <w:p w:rsidR="00F27636" w:rsidRPr="00390130" w:rsidRDefault="00F27636" w:rsidP="00390130">
            <w:pPr>
              <w:kinsoku w:val="0"/>
              <w:overflowPunct w:val="0"/>
              <w:spacing w:line="440" w:lineRule="exact"/>
              <w:ind w:left="257" w:hangingChars="107" w:hanging="257"/>
              <w:jc w:val="both"/>
              <w:textAlignment w:val="center"/>
              <w:rPr>
                <w:rFonts w:eastAsia="標楷體"/>
              </w:rPr>
            </w:pPr>
            <w:r w:rsidRPr="00390130">
              <w:rPr>
                <w:rFonts w:eastAsia="標楷體"/>
              </w:rPr>
              <w:lastRenderedPageBreak/>
              <w:t>1</w:t>
            </w:r>
            <w:r w:rsidR="00390130">
              <w:rPr>
                <w:rFonts w:eastAsia="標楷體" w:hint="eastAsia"/>
              </w:rPr>
              <w:t>.</w:t>
            </w:r>
            <w:r w:rsidRPr="00390130">
              <w:rPr>
                <w:rFonts w:eastAsia="標楷體"/>
              </w:rPr>
              <w:t>針對脫退率假設，考量繳費期間</w:t>
            </w:r>
            <w:r w:rsidRPr="00390130">
              <w:rPr>
                <w:rFonts w:eastAsia="標楷體"/>
              </w:rPr>
              <w:t>10</w:t>
            </w:r>
            <w:r w:rsidRPr="00390130">
              <w:rPr>
                <w:rFonts w:eastAsia="標楷體"/>
              </w:rPr>
              <w:t>年以上的健康險可將脫退率納入費率計算，為加強</w:t>
            </w:r>
            <w:r w:rsidR="000153E1" w:rsidRPr="00390130">
              <w:rPr>
                <w:rFonts w:eastAsia="標楷體"/>
              </w:rPr>
              <w:t>簽證精算人員</w:t>
            </w:r>
            <w:r w:rsidRPr="00390130">
              <w:rPr>
                <w:rFonts w:eastAsia="標楷體"/>
              </w:rPr>
              <w:t>脫退率最適假設之擬定，爰</w:t>
            </w:r>
            <w:r w:rsidR="00D027B8">
              <w:rPr>
                <w:rFonts w:eastAsia="標楷體" w:hint="eastAsia"/>
              </w:rPr>
              <w:t>於第二項</w:t>
            </w:r>
            <w:r w:rsidRPr="00390130">
              <w:rPr>
                <w:rFonts w:eastAsia="標楷體"/>
              </w:rPr>
              <w:t>增列要求分析脫退率納入費率計算之健康險脫退率經驗值。</w:t>
            </w:r>
          </w:p>
          <w:p w:rsidR="009055C4" w:rsidRPr="00390130" w:rsidRDefault="00F27636" w:rsidP="0014083D">
            <w:pPr>
              <w:kinsoku w:val="0"/>
              <w:overflowPunct w:val="0"/>
              <w:spacing w:line="440" w:lineRule="exact"/>
              <w:ind w:left="257" w:hangingChars="107" w:hanging="257"/>
              <w:jc w:val="both"/>
              <w:textAlignment w:val="center"/>
              <w:rPr>
                <w:rFonts w:eastAsia="標楷體"/>
              </w:rPr>
            </w:pPr>
            <w:r w:rsidRPr="00390130">
              <w:rPr>
                <w:rFonts w:eastAsia="標楷體"/>
              </w:rPr>
              <w:lastRenderedPageBreak/>
              <w:t>2</w:t>
            </w:r>
            <w:r w:rsidR="00390130">
              <w:rPr>
                <w:rFonts w:eastAsia="標楷體" w:hint="eastAsia"/>
              </w:rPr>
              <w:t>.</w:t>
            </w:r>
            <w:r w:rsidRPr="00390130">
              <w:rPr>
                <w:rFonts w:eastAsia="標楷體"/>
              </w:rPr>
              <w:t>針對罹病率假設，考量具保證續保特性之短年期附約應進一步分析未來發展趨勢以擬定最適精算假設，爰</w:t>
            </w:r>
            <w:r w:rsidR="00D027B8">
              <w:rPr>
                <w:rFonts w:eastAsia="標楷體" w:hint="eastAsia"/>
              </w:rPr>
              <w:t>於第三項</w:t>
            </w:r>
            <w:r w:rsidRPr="00390130">
              <w:rPr>
                <w:rFonts w:eastAsia="標楷體"/>
              </w:rPr>
              <w:t>增列罹病率</w:t>
            </w:r>
            <w:r w:rsidR="0014083D">
              <w:rPr>
                <w:rFonts w:eastAsia="標楷體" w:hint="eastAsia"/>
              </w:rPr>
              <w:t>訂定對象</w:t>
            </w:r>
            <w:r w:rsidRPr="00390130">
              <w:rPr>
                <w:rFonts w:eastAsia="標楷體"/>
              </w:rPr>
              <w:t>包含短年期附約</w:t>
            </w:r>
            <w:r w:rsidR="0014083D">
              <w:rPr>
                <w:rFonts w:eastAsia="標楷體" w:hint="eastAsia"/>
              </w:rPr>
              <w:t>。</w:t>
            </w:r>
            <w:r w:rsidRPr="00390130">
              <w:rPr>
                <w:rFonts w:eastAsia="標楷體"/>
              </w:rPr>
              <w:t>另為持續強化惡化率之評估方式，載明應說明惡化率趨勢分析及惡化年度評估方式及相關依據。</w:t>
            </w:r>
          </w:p>
        </w:tc>
      </w:tr>
      <w:tr w:rsidR="00390130" w:rsidRPr="00390130" w:rsidTr="00390130">
        <w:trPr>
          <w:trHeight w:val="20"/>
        </w:trPr>
        <w:tc>
          <w:tcPr>
            <w:tcW w:w="3628" w:type="dxa"/>
          </w:tcPr>
          <w:p w:rsidR="00EE5689" w:rsidRPr="00390130" w:rsidRDefault="00EE5689" w:rsidP="00390130">
            <w:pPr>
              <w:kinsoku w:val="0"/>
              <w:overflowPunct w:val="0"/>
              <w:spacing w:line="420" w:lineRule="exact"/>
              <w:ind w:left="960" w:hangingChars="400" w:hanging="960"/>
              <w:jc w:val="both"/>
              <w:textAlignment w:val="center"/>
              <w:rPr>
                <w:rFonts w:eastAsia="標楷體"/>
              </w:rPr>
            </w:pPr>
            <w:r w:rsidRPr="00390130">
              <w:rPr>
                <w:rFonts w:eastAsia="標楷體"/>
              </w:rPr>
              <w:lastRenderedPageBreak/>
              <w:t>第三章、負債面</w:t>
            </w:r>
          </w:p>
        </w:tc>
        <w:tc>
          <w:tcPr>
            <w:tcW w:w="3628" w:type="dxa"/>
          </w:tcPr>
          <w:p w:rsidR="00EE5689" w:rsidRPr="00390130" w:rsidRDefault="00EE5689" w:rsidP="00390130">
            <w:pPr>
              <w:kinsoku w:val="0"/>
              <w:overflowPunct w:val="0"/>
              <w:spacing w:line="420" w:lineRule="exact"/>
              <w:ind w:left="960" w:hangingChars="400" w:hanging="960"/>
              <w:jc w:val="both"/>
              <w:textAlignment w:val="center"/>
              <w:rPr>
                <w:rFonts w:eastAsia="標楷體"/>
              </w:rPr>
            </w:pPr>
            <w:r w:rsidRPr="00390130">
              <w:rPr>
                <w:rFonts w:eastAsia="標楷體"/>
              </w:rPr>
              <w:t>第三章、負債面</w:t>
            </w:r>
          </w:p>
        </w:tc>
        <w:tc>
          <w:tcPr>
            <w:tcW w:w="2154" w:type="dxa"/>
            <w:vAlign w:val="center"/>
          </w:tcPr>
          <w:p w:rsidR="00EE5689" w:rsidRPr="00390130" w:rsidRDefault="00EE5689" w:rsidP="00390130">
            <w:pPr>
              <w:kinsoku w:val="0"/>
              <w:overflowPunct w:val="0"/>
              <w:spacing w:line="440" w:lineRule="exact"/>
              <w:jc w:val="both"/>
              <w:textAlignment w:val="center"/>
              <w:rPr>
                <w:rFonts w:eastAsia="標楷體"/>
              </w:rPr>
            </w:pPr>
          </w:p>
        </w:tc>
      </w:tr>
      <w:tr w:rsidR="00390130" w:rsidRPr="00390130" w:rsidTr="00390130">
        <w:trPr>
          <w:trHeight w:val="20"/>
        </w:trPr>
        <w:tc>
          <w:tcPr>
            <w:tcW w:w="3628" w:type="dxa"/>
          </w:tcPr>
          <w:p w:rsidR="00EE5689" w:rsidRPr="00390130" w:rsidRDefault="00EE5689" w:rsidP="00390130">
            <w:pPr>
              <w:kinsoku w:val="0"/>
              <w:overflowPunct w:val="0"/>
              <w:spacing w:line="440" w:lineRule="exact"/>
              <w:ind w:left="720" w:hangingChars="300" w:hanging="720"/>
              <w:jc w:val="both"/>
              <w:textAlignment w:val="center"/>
              <w:rPr>
                <w:rFonts w:eastAsia="標楷體"/>
              </w:rPr>
            </w:pPr>
            <w:r w:rsidRPr="00390130">
              <w:rPr>
                <w:rFonts w:eastAsia="標楷體"/>
              </w:rPr>
              <w:t>十九、簽證精算人員應檢附當年度與上年度之負債面假設對照表，除說明所採用之精算軟體外，至少應包括脫退率、死亡率、罹病率、費用及分紅</w:t>
            </w:r>
            <w:r w:rsidR="00D027B8">
              <w:rPr>
                <w:rFonts w:eastAsia="標楷體" w:hint="eastAsia"/>
              </w:rPr>
              <w:t>(</w:t>
            </w:r>
            <w:r w:rsidRPr="00390130">
              <w:rPr>
                <w:rFonts w:eastAsia="標楷體"/>
              </w:rPr>
              <w:t>包含強制分紅及自由分紅</w:t>
            </w:r>
            <w:r w:rsidR="00D027B8">
              <w:rPr>
                <w:rFonts w:eastAsia="標楷體" w:hint="eastAsia"/>
              </w:rPr>
              <w:t>)</w:t>
            </w:r>
            <w:r w:rsidRPr="00390130">
              <w:rPr>
                <w:rFonts w:eastAsia="標楷體"/>
              </w:rPr>
              <w:t>等負債面假設。若假設完全相同者，應說明其適當性；若有不一致者，應說明其原因及影響是否顯著。如有顯著影響，應以量化方式評估其影響程度</w:t>
            </w:r>
            <w:r w:rsidR="00D027B8">
              <w:rPr>
                <w:rFonts w:eastAsia="標楷體" w:hint="eastAsia"/>
              </w:rPr>
              <w:t>(</w:t>
            </w:r>
            <w:r w:rsidRPr="00390130">
              <w:rPr>
                <w:rFonts w:eastAsia="標楷體"/>
              </w:rPr>
              <w:t>準備金適足性測試之變動分析表詳指定附表</w:t>
            </w:r>
            <w:r w:rsidRPr="00390130">
              <w:rPr>
                <w:rFonts w:eastAsia="標楷體"/>
              </w:rPr>
              <w:t>15</w:t>
            </w:r>
            <w:r w:rsidR="00D027B8">
              <w:rPr>
                <w:rFonts w:eastAsia="標楷體" w:hint="eastAsia"/>
              </w:rPr>
              <w:t>)</w:t>
            </w:r>
            <w:r w:rsidRPr="00390130">
              <w:rPr>
                <w:rFonts w:eastAsia="標楷體"/>
              </w:rPr>
              <w:t>。</w:t>
            </w:r>
          </w:p>
          <w:p w:rsidR="00EE5689" w:rsidRPr="00390130" w:rsidRDefault="00EE5689" w:rsidP="00390130">
            <w:pPr>
              <w:kinsoku w:val="0"/>
              <w:overflowPunct w:val="0"/>
              <w:spacing w:line="440" w:lineRule="exact"/>
              <w:ind w:leftChars="310" w:left="744"/>
              <w:jc w:val="both"/>
              <w:textAlignment w:val="center"/>
              <w:rPr>
                <w:rFonts w:eastAsia="標楷體"/>
              </w:rPr>
            </w:pPr>
            <w:r w:rsidRPr="00390130">
              <w:rPr>
                <w:rFonts w:eastAsia="標楷體"/>
              </w:rPr>
              <w:t>除因法令或主管機關或其指定機構公告之基礎情境而變動外，簽證精算人員應依下列規定辦理：</w:t>
            </w:r>
          </w:p>
          <w:p w:rsidR="00EE5689" w:rsidRPr="00390130" w:rsidRDefault="00D027B8" w:rsidP="00D027B8">
            <w:pPr>
              <w:kinsoku w:val="0"/>
              <w:overflowPunct w:val="0"/>
              <w:spacing w:line="440" w:lineRule="exact"/>
              <w:ind w:leftChars="299" w:left="1160" w:hangingChars="184" w:hanging="442"/>
              <w:jc w:val="both"/>
              <w:textAlignment w:val="center"/>
              <w:rPr>
                <w:rFonts w:eastAsia="標楷體"/>
              </w:rPr>
            </w:pPr>
            <w:r>
              <w:rPr>
                <w:rFonts w:eastAsia="標楷體" w:hint="eastAsia"/>
              </w:rPr>
              <w:t>(</w:t>
            </w:r>
            <w:r w:rsidR="00EE5689" w:rsidRPr="00390130">
              <w:rPr>
                <w:rFonts w:eastAsia="標楷體"/>
              </w:rPr>
              <w:t>一</w:t>
            </w:r>
            <w:r>
              <w:rPr>
                <w:rFonts w:eastAsia="標楷體" w:hint="eastAsia"/>
              </w:rPr>
              <w:t>)</w:t>
            </w:r>
            <w:r w:rsidR="00EE5689" w:rsidRPr="00390130">
              <w:rPr>
                <w:rFonts w:eastAsia="標楷體"/>
              </w:rPr>
              <w:t>若精算假設變動致使各項簽證項目之測試結果有顯著影響時，應評估其影響數，且</w:t>
            </w:r>
            <w:r w:rsidR="00EE5689" w:rsidRPr="00390130">
              <w:rPr>
                <w:rFonts w:eastAsia="標楷體"/>
              </w:rPr>
              <w:lastRenderedPageBreak/>
              <w:t>揭露於精算意見書。</w:t>
            </w:r>
          </w:p>
          <w:p w:rsidR="00EE5689" w:rsidRPr="00390130" w:rsidRDefault="00EE5689" w:rsidP="00390130">
            <w:pPr>
              <w:kinsoku w:val="0"/>
              <w:overflowPunct w:val="0"/>
              <w:spacing w:line="440" w:lineRule="exact"/>
              <w:ind w:leftChars="300" w:left="1440" w:hangingChars="300" w:hanging="720"/>
              <w:jc w:val="both"/>
              <w:textAlignment w:val="center"/>
              <w:rPr>
                <w:rFonts w:eastAsia="標楷體"/>
              </w:rPr>
            </w:pPr>
          </w:p>
          <w:p w:rsidR="00EE5689" w:rsidRPr="00D027B8" w:rsidRDefault="00EE5689" w:rsidP="00D027B8">
            <w:pPr>
              <w:kinsoku w:val="0"/>
              <w:overflowPunct w:val="0"/>
              <w:spacing w:line="440" w:lineRule="exact"/>
              <w:ind w:leftChars="299" w:left="1160" w:hangingChars="184" w:hanging="442"/>
              <w:jc w:val="both"/>
              <w:textAlignment w:val="center"/>
              <w:rPr>
                <w:rFonts w:eastAsia="標楷體"/>
              </w:rPr>
            </w:pPr>
          </w:p>
          <w:p w:rsidR="00EE5689" w:rsidRPr="00390130" w:rsidRDefault="00D027B8" w:rsidP="00D027B8">
            <w:pPr>
              <w:kinsoku w:val="0"/>
              <w:overflowPunct w:val="0"/>
              <w:spacing w:line="440" w:lineRule="exact"/>
              <w:ind w:leftChars="299" w:left="1160" w:hangingChars="184" w:hanging="442"/>
              <w:jc w:val="both"/>
              <w:textAlignment w:val="center"/>
              <w:rPr>
                <w:rFonts w:eastAsia="標楷體"/>
              </w:rPr>
            </w:pPr>
            <w:r>
              <w:rPr>
                <w:rFonts w:eastAsia="標楷體" w:hint="eastAsia"/>
              </w:rPr>
              <w:t>(</w:t>
            </w:r>
            <w:r w:rsidR="00EE5689" w:rsidRPr="00390130">
              <w:rPr>
                <w:rFonts w:eastAsia="標楷體"/>
              </w:rPr>
              <w:t>二</w:t>
            </w:r>
            <w:r>
              <w:rPr>
                <w:rFonts w:eastAsia="標楷體" w:hint="eastAsia"/>
              </w:rPr>
              <w:t>)</w:t>
            </w:r>
            <w:r w:rsidR="00EE5689" w:rsidRPr="00390130">
              <w:rPr>
                <w:rFonts w:eastAsia="標楷體"/>
              </w:rPr>
              <w:t>若精算假設變動致使各項簽證項目之測試結果更趨保守時，僅須說明該變動之合理性及必要性。</w:t>
            </w:r>
          </w:p>
          <w:p w:rsidR="00EE5689" w:rsidRPr="00390130" w:rsidRDefault="00EE5689" w:rsidP="00390130">
            <w:pPr>
              <w:kinsoku w:val="0"/>
              <w:overflowPunct w:val="0"/>
              <w:spacing w:line="440" w:lineRule="exact"/>
              <w:ind w:leftChars="310" w:left="744"/>
              <w:jc w:val="both"/>
              <w:textAlignment w:val="center"/>
              <w:rPr>
                <w:rFonts w:eastAsia="標楷體"/>
              </w:rPr>
            </w:pPr>
            <w:r w:rsidRPr="00390130">
              <w:rPr>
                <w:rFonts w:eastAsia="標楷體"/>
              </w:rPr>
              <w:t>簽證精算人員應提出精算假設變動致使各簽證項目測試結果產生顯著影響之判斷標準。</w:t>
            </w:r>
          </w:p>
        </w:tc>
        <w:tc>
          <w:tcPr>
            <w:tcW w:w="3628" w:type="dxa"/>
          </w:tcPr>
          <w:p w:rsidR="00EE5689" w:rsidRPr="00390130" w:rsidRDefault="00EE5689" w:rsidP="00390130">
            <w:pPr>
              <w:kinsoku w:val="0"/>
              <w:overflowPunct w:val="0"/>
              <w:spacing w:line="440" w:lineRule="exact"/>
              <w:ind w:left="720" w:hangingChars="300" w:hanging="720"/>
              <w:jc w:val="both"/>
              <w:textAlignment w:val="center"/>
              <w:rPr>
                <w:rFonts w:eastAsia="標楷體"/>
              </w:rPr>
            </w:pPr>
            <w:r w:rsidRPr="00390130">
              <w:rPr>
                <w:rFonts w:eastAsia="標楷體"/>
              </w:rPr>
              <w:lastRenderedPageBreak/>
              <w:t>十九、簽證精算人員應檢附當年度與上年度之負債面假設對照表，除說明所採用之精算軟體外，至少應包括脫退率、死亡率、罹病率、費用及分紅</w:t>
            </w:r>
            <w:r w:rsidR="00D027B8">
              <w:rPr>
                <w:rFonts w:eastAsia="標楷體" w:hint="eastAsia"/>
              </w:rPr>
              <w:t>(</w:t>
            </w:r>
            <w:r w:rsidRPr="00390130">
              <w:rPr>
                <w:rFonts w:eastAsia="標楷體"/>
              </w:rPr>
              <w:t>包含強制分紅及自由分紅</w:t>
            </w:r>
            <w:r w:rsidR="00D027B8">
              <w:rPr>
                <w:rFonts w:eastAsia="標楷體" w:hint="eastAsia"/>
              </w:rPr>
              <w:t>)</w:t>
            </w:r>
            <w:r w:rsidRPr="00390130">
              <w:rPr>
                <w:rFonts w:eastAsia="標楷體"/>
              </w:rPr>
              <w:t>等負債面假設。若假設完全相同者，應說明其適當性；若有不一致者，應說明其原因及影響是否顯著。如有顯著影響，應以量化方式評估其影響程度</w:t>
            </w:r>
            <w:r w:rsidR="00D027B8">
              <w:rPr>
                <w:rFonts w:eastAsia="標楷體" w:hint="eastAsia"/>
              </w:rPr>
              <w:t>(</w:t>
            </w:r>
            <w:r w:rsidRPr="00390130">
              <w:rPr>
                <w:rFonts w:eastAsia="標楷體"/>
              </w:rPr>
              <w:t>準備金適足性測試之變動分析表詳指定附表</w:t>
            </w:r>
            <w:r w:rsidRPr="00390130">
              <w:rPr>
                <w:rFonts w:eastAsia="標楷體"/>
              </w:rPr>
              <w:t>15</w:t>
            </w:r>
            <w:r w:rsidR="00D027B8">
              <w:rPr>
                <w:rFonts w:eastAsia="標楷體" w:hint="eastAsia"/>
              </w:rPr>
              <w:t>)</w:t>
            </w:r>
            <w:r w:rsidRPr="00390130">
              <w:rPr>
                <w:rFonts w:eastAsia="標楷體"/>
              </w:rPr>
              <w:t>。</w:t>
            </w:r>
          </w:p>
          <w:p w:rsidR="00EE5689" w:rsidRPr="00390130" w:rsidRDefault="00EE5689" w:rsidP="00390130">
            <w:pPr>
              <w:kinsoku w:val="0"/>
              <w:overflowPunct w:val="0"/>
              <w:spacing w:line="440" w:lineRule="exact"/>
              <w:ind w:leftChars="310" w:left="744"/>
              <w:jc w:val="both"/>
              <w:textAlignment w:val="center"/>
              <w:rPr>
                <w:rFonts w:eastAsia="標楷體"/>
              </w:rPr>
            </w:pPr>
            <w:r w:rsidRPr="00390130">
              <w:rPr>
                <w:rFonts w:eastAsia="標楷體"/>
              </w:rPr>
              <w:t>除因法令或主管機關或其指定機構公告之基礎情境而變動外，簽證精算人員應依下列規定辦理：</w:t>
            </w:r>
          </w:p>
          <w:p w:rsidR="00EE5689" w:rsidRPr="00390130" w:rsidRDefault="00D027B8" w:rsidP="00D027B8">
            <w:pPr>
              <w:kinsoku w:val="0"/>
              <w:overflowPunct w:val="0"/>
              <w:spacing w:line="440" w:lineRule="exact"/>
              <w:ind w:leftChars="299" w:left="1217" w:hangingChars="208" w:hanging="499"/>
              <w:jc w:val="both"/>
              <w:textAlignment w:val="center"/>
              <w:rPr>
                <w:rFonts w:eastAsia="標楷體"/>
              </w:rPr>
            </w:pPr>
            <w:r>
              <w:rPr>
                <w:rFonts w:eastAsia="標楷體" w:hint="eastAsia"/>
              </w:rPr>
              <w:t>(</w:t>
            </w:r>
            <w:r w:rsidR="00EE5689" w:rsidRPr="00390130">
              <w:rPr>
                <w:rFonts w:eastAsia="標楷體"/>
              </w:rPr>
              <w:t>一</w:t>
            </w:r>
            <w:r>
              <w:rPr>
                <w:rFonts w:eastAsia="標楷體" w:hint="eastAsia"/>
              </w:rPr>
              <w:t>)</w:t>
            </w:r>
            <w:r w:rsidR="00EE5689" w:rsidRPr="00390130">
              <w:rPr>
                <w:rFonts w:eastAsia="標楷體"/>
              </w:rPr>
              <w:t>若精算假設變動致使各項簽證項目之測試結果有顯著影響時，應評估其影響數，且</w:t>
            </w:r>
            <w:r w:rsidR="00EE5689" w:rsidRPr="00390130">
              <w:rPr>
                <w:rFonts w:eastAsia="標楷體"/>
              </w:rPr>
              <w:lastRenderedPageBreak/>
              <w:t>揭露於精算意見書</w:t>
            </w:r>
            <w:r w:rsidR="00EE5689" w:rsidRPr="00390130">
              <w:rPr>
                <w:rFonts w:eastAsia="標楷體"/>
                <w:u w:val="single"/>
              </w:rPr>
              <w:t>，並應報經董事會決議通過</w:t>
            </w:r>
            <w:r w:rsidR="00EE5689" w:rsidRPr="00390130">
              <w:rPr>
                <w:rFonts w:eastAsia="標楷體"/>
              </w:rPr>
              <w:t>。</w:t>
            </w:r>
          </w:p>
          <w:p w:rsidR="00EE5689" w:rsidRPr="00390130" w:rsidRDefault="00D027B8" w:rsidP="00D027B8">
            <w:pPr>
              <w:kinsoku w:val="0"/>
              <w:overflowPunct w:val="0"/>
              <w:spacing w:line="440" w:lineRule="exact"/>
              <w:ind w:leftChars="299" w:left="1217" w:hangingChars="208" w:hanging="499"/>
              <w:jc w:val="both"/>
              <w:textAlignment w:val="center"/>
              <w:rPr>
                <w:rFonts w:eastAsia="標楷體"/>
              </w:rPr>
            </w:pPr>
            <w:r>
              <w:rPr>
                <w:rFonts w:eastAsia="標楷體" w:hint="eastAsia"/>
              </w:rPr>
              <w:t>(</w:t>
            </w:r>
            <w:r w:rsidR="00EE5689" w:rsidRPr="00390130">
              <w:rPr>
                <w:rFonts w:eastAsia="標楷體"/>
              </w:rPr>
              <w:t>二</w:t>
            </w:r>
            <w:r>
              <w:rPr>
                <w:rFonts w:eastAsia="標楷體" w:hint="eastAsia"/>
              </w:rPr>
              <w:t>)</w:t>
            </w:r>
            <w:r w:rsidR="00EE5689" w:rsidRPr="00390130">
              <w:rPr>
                <w:rFonts w:eastAsia="標楷體"/>
              </w:rPr>
              <w:t>若精算假設變動致使各項簽證項目之測試結果更趨保守時，僅須說明該變動之合理性及必要性。</w:t>
            </w:r>
          </w:p>
          <w:p w:rsidR="00EE5689" w:rsidRPr="00390130" w:rsidRDefault="00EE5689" w:rsidP="00390130">
            <w:pPr>
              <w:kinsoku w:val="0"/>
              <w:overflowPunct w:val="0"/>
              <w:spacing w:line="440" w:lineRule="exact"/>
              <w:ind w:leftChars="300" w:left="720"/>
              <w:jc w:val="both"/>
              <w:textAlignment w:val="center"/>
              <w:rPr>
                <w:rFonts w:eastAsia="標楷體"/>
              </w:rPr>
            </w:pPr>
            <w:r w:rsidRPr="00390130">
              <w:rPr>
                <w:rFonts w:eastAsia="標楷體"/>
              </w:rPr>
              <w:t>簽證精算人員應提出精算假設變動致使各簽證項目測試結果產生顯著影響之判斷標準。</w:t>
            </w:r>
          </w:p>
        </w:tc>
        <w:tc>
          <w:tcPr>
            <w:tcW w:w="2154" w:type="dxa"/>
          </w:tcPr>
          <w:p w:rsidR="00EE5689" w:rsidRPr="00390130" w:rsidRDefault="00D027B8" w:rsidP="00390130">
            <w:pPr>
              <w:kinsoku w:val="0"/>
              <w:overflowPunct w:val="0"/>
              <w:spacing w:line="440" w:lineRule="exact"/>
              <w:jc w:val="both"/>
              <w:textAlignment w:val="center"/>
              <w:rPr>
                <w:rFonts w:eastAsia="標楷體"/>
              </w:rPr>
            </w:pPr>
            <w:r>
              <w:rPr>
                <w:rFonts w:eastAsia="標楷體" w:hint="eastAsia"/>
              </w:rPr>
              <w:lastRenderedPageBreak/>
              <w:t>同第十四點說明</w:t>
            </w:r>
            <w:r w:rsidR="00866F61" w:rsidRPr="00390130">
              <w:rPr>
                <w:rFonts w:eastAsia="標楷體"/>
              </w:rPr>
              <w:t>。</w:t>
            </w:r>
          </w:p>
        </w:tc>
      </w:tr>
      <w:tr w:rsidR="00390130" w:rsidRPr="00390130" w:rsidTr="00390130">
        <w:trPr>
          <w:trHeight w:val="20"/>
        </w:trPr>
        <w:tc>
          <w:tcPr>
            <w:tcW w:w="3628" w:type="dxa"/>
          </w:tcPr>
          <w:p w:rsidR="00EE5689" w:rsidRPr="00390130" w:rsidRDefault="00EE5689" w:rsidP="00390130">
            <w:pPr>
              <w:kinsoku w:val="0"/>
              <w:overflowPunct w:val="0"/>
              <w:spacing w:line="420" w:lineRule="exact"/>
              <w:ind w:left="960" w:hangingChars="400" w:hanging="960"/>
              <w:jc w:val="both"/>
              <w:textAlignment w:val="center"/>
              <w:rPr>
                <w:rFonts w:eastAsia="標楷體"/>
              </w:rPr>
            </w:pPr>
            <w:r w:rsidRPr="00390130">
              <w:rPr>
                <w:rFonts w:eastAsia="標楷體"/>
              </w:rPr>
              <w:lastRenderedPageBreak/>
              <w:t>第四章、準備金適足性</w:t>
            </w:r>
          </w:p>
        </w:tc>
        <w:tc>
          <w:tcPr>
            <w:tcW w:w="3628" w:type="dxa"/>
          </w:tcPr>
          <w:p w:rsidR="00EE5689" w:rsidRPr="00390130" w:rsidRDefault="00EE5689" w:rsidP="00390130">
            <w:pPr>
              <w:kinsoku w:val="0"/>
              <w:overflowPunct w:val="0"/>
              <w:spacing w:line="420" w:lineRule="exact"/>
              <w:ind w:left="960" w:hangingChars="400" w:hanging="960"/>
              <w:jc w:val="both"/>
              <w:textAlignment w:val="center"/>
              <w:rPr>
                <w:rFonts w:eastAsia="標楷體"/>
              </w:rPr>
            </w:pPr>
            <w:r w:rsidRPr="00390130">
              <w:rPr>
                <w:rFonts w:eastAsia="標楷體"/>
              </w:rPr>
              <w:t>第四章、準備金適足性</w:t>
            </w:r>
          </w:p>
        </w:tc>
        <w:tc>
          <w:tcPr>
            <w:tcW w:w="2154" w:type="dxa"/>
            <w:vAlign w:val="center"/>
          </w:tcPr>
          <w:p w:rsidR="00EE5689" w:rsidRPr="00390130" w:rsidRDefault="00EE5689" w:rsidP="00390130">
            <w:pPr>
              <w:kinsoku w:val="0"/>
              <w:overflowPunct w:val="0"/>
              <w:spacing w:line="440" w:lineRule="exact"/>
              <w:jc w:val="both"/>
              <w:textAlignment w:val="center"/>
              <w:rPr>
                <w:rFonts w:eastAsia="標楷體"/>
              </w:rPr>
            </w:pPr>
          </w:p>
        </w:tc>
      </w:tr>
      <w:tr w:rsidR="00DD6868" w:rsidRPr="00390130" w:rsidTr="00DD6868">
        <w:trPr>
          <w:trHeight w:val="20"/>
        </w:trPr>
        <w:tc>
          <w:tcPr>
            <w:tcW w:w="3628" w:type="dxa"/>
          </w:tcPr>
          <w:p w:rsidR="00DD6868" w:rsidRDefault="00DD6868" w:rsidP="00236035">
            <w:pPr>
              <w:kinsoku w:val="0"/>
              <w:overflowPunct w:val="0"/>
              <w:spacing w:line="420" w:lineRule="exact"/>
              <w:ind w:left="737" w:hangingChars="307" w:hanging="737"/>
              <w:jc w:val="both"/>
              <w:textAlignment w:val="center"/>
              <w:rPr>
                <w:rFonts w:eastAsia="標楷體"/>
              </w:rPr>
            </w:pPr>
            <w:r>
              <w:rPr>
                <w:rFonts w:eastAsia="標楷體" w:hint="eastAsia"/>
              </w:rPr>
              <w:t>二十、</w:t>
            </w:r>
            <w:r w:rsidRPr="00D50BE9">
              <w:rPr>
                <w:rFonts w:eastAsia="標楷體"/>
              </w:rPr>
              <w:t>簽證精算人員進行準備金適足性測試前，應檢視</w:t>
            </w:r>
            <w:r w:rsidRPr="00DD6868">
              <w:rPr>
                <w:rFonts w:eastAsia="標楷體" w:hint="eastAsia"/>
                <w:u w:val="single"/>
              </w:rPr>
              <w:t>依</w:t>
            </w:r>
            <w:r w:rsidRPr="00DD6868">
              <w:rPr>
                <w:rFonts w:ascii="標楷體" w:eastAsia="標楷體" w:hAnsi="標楷體" w:hint="eastAsia"/>
                <w:u w:val="single"/>
              </w:rPr>
              <w:t>「</w:t>
            </w:r>
            <w:r w:rsidRPr="00DD6868">
              <w:rPr>
                <w:rFonts w:eastAsia="標楷體" w:hint="eastAsia"/>
                <w:u w:val="single"/>
              </w:rPr>
              <w:t>保險業各種準備金提存辦法</w:t>
            </w:r>
            <w:r w:rsidRPr="00DD6868">
              <w:rPr>
                <w:rFonts w:ascii="標楷體" w:eastAsia="標楷體" w:hAnsi="標楷體" w:hint="eastAsia"/>
                <w:u w:val="single"/>
              </w:rPr>
              <w:t>」及相關函令</w:t>
            </w:r>
            <w:r w:rsidRPr="00DD6868">
              <w:rPr>
                <w:rFonts w:eastAsia="標楷體" w:hint="eastAsia"/>
                <w:u w:val="single"/>
              </w:rPr>
              <w:t>規定</w:t>
            </w:r>
            <w:r w:rsidR="00236035">
              <w:rPr>
                <w:rFonts w:eastAsia="標楷體" w:hint="eastAsia"/>
                <w:u w:val="single"/>
              </w:rPr>
              <w:t>與保險契約有關之</w:t>
            </w:r>
            <w:r w:rsidRPr="00D50BE9">
              <w:rPr>
                <w:rFonts w:eastAsia="標楷體"/>
              </w:rPr>
              <w:t>各種準備金</w:t>
            </w:r>
            <w:r w:rsidR="000153E1" w:rsidRPr="00976BC7">
              <w:rPr>
                <w:rFonts w:eastAsia="標楷體" w:hint="eastAsia"/>
                <w:u w:val="single"/>
              </w:rPr>
              <w:t>(</w:t>
            </w:r>
            <w:r w:rsidR="000153E1" w:rsidRPr="00976BC7">
              <w:rPr>
                <w:rFonts w:eastAsia="標楷體" w:hint="eastAsia"/>
                <w:u w:val="single"/>
              </w:rPr>
              <w:t>得不包含外匯價格變動準備金</w:t>
            </w:r>
            <w:r w:rsidR="000153E1" w:rsidRPr="00976BC7">
              <w:rPr>
                <w:rFonts w:eastAsia="標楷體" w:hint="eastAsia"/>
                <w:u w:val="single"/>
              </w:rPr>
              <w:t>)</w:t>
            </w:r>
            <w:r w:rsidRPr="00D50BE9">
              <w:rPr>
                <w:rFonts w:eastAsia="標楷體"/>
              </w:rPr>
              <w:t>提存金額之正確性，若法令未規定者應說明其合理性。</w:t>
            </w:r>
          </w:p>
          <w:p w:rsidR="00236035" w:rsidRDefault="00236035" w:rsidP="00236035">
            <w:pPr>
              <w:kinsoku w:val="0"/>
              <w:overflowPunct w:val="0"/>
              <w:spacing w:line="420" w:lineRule="exact"/>
              <w:ind w:left="737" w:hangingChars="307" w:hanging="737"/>
              <w:jc w:val="both"/>
              <w:textAlignment w:val="center"/>
              <w:rPr>
                <w:rFonts w:eastAsia="標楷體"/>
              </w:rPr>
            </w:pPr>
          </w:p>
          <w:p w:rsidR="00236035" w:rsidRDefault="00236035" w:rsidP="00236035">
            <w:pPr>
              <w:kinsoku w:val="0"/>
              <w:overflowPunct w:val="0"/>
              <w:spacing w:line="420" w:lineRule="exact"/>
              <w:ind w:left="737" w:hangingChars="307" w:hanging="737"/>
              <w:jc w:val="both"/>
              <w:textAlignment w:val="center"/>
              <w:rPr>
                <w:rFonts w:eastAsia="標楷體"/>
              </w:rPr>
            </w:pPr>
          </w:p>
          <w:p w:rsidR="00971029" w:rsidRDefault="00971029" w:rsidP="00236035">
            <w:pPr>
              <w:kinsoku w:val="0"/>
              <w:overflowPunct w:val="0"/>
              <w:spacing w:line="420" w:lineRule="exact"/>
              <w:ind w:left="737" w:hangingChars="307" w:hanging="737"/>
              <w:jc w:val="both"/>
              <w:textAlignment w:val="center"/>
              <w:rPr>
                <w:rFonts w:eastAsia="標楷體"/>
              </w:rPr>
            </w:pPr>
          </w:p>
          <w:p w:rsidR="00971029" w:rsidRDefault="00971029" w:rsidP="00236035">
            <w:pPr>
              <w:kinsoku w:val="0"/>
              <w:overflowPunct w:val="0"/>
              <w:spacing w:line="420" w:lineRule="exact"/>
              <w:ind w:left="737" w:hangingChars="307" w:hanging="737"/>
              <w:jc w:val="both"/>
              <w:textAlignment w:val="center"/>
              <w:rPr>
                <w:rFonts w:eastAsia="標楷體"/>
              </w:rPr>
            </w:pPr>
          </w:p>
          <w:p w:rsidR="00971029" w:rsidRDefault="00971029" w:rsidP="00236035">
            <w:pPr>
              <w:kinsoku w:val="0"/>
              <w:overflowPunct w:val="0"/>
              <w:spacing w:line="420" w:lineRule="exact"/>
              <w:ind w:left="737" w:hangingChars="307" w:hanging="737"/>
              <w:jc w:val="both"/>
              <w:textAlignment w:val="center"/>
              <w:rPr>
                <w:rFonts w:eastAsia="標楷體"/>
              </w:rPr>
            </w:pPr>
          </w:p>
          <w:p w:rsidR="00971029" w:rsidRPr="00971029" w:rsidRDefault="00971029" w:rsidP="00236035">
            <w:pPr>
              <w:kinsoku w:val="0"/>
              <w:overflowPunct w:val="0"/>
              <w:spacing w:line="420" w:lineRule="exact"/>
              <w:ind w:left="737" w:hangingChars="307" w:hanging="737"/>
              <w:jc w:val="both"/>
              <w:textAlignment w:val="center"/>
              <w:rPr>
                <w:rFonts w:eastAsia="標楷體"/>
              </w:rPr>
            </w:pPr>
          </w:p>
          <w:p w:rsidR="00236035" w:rsidRDefault="00236035" w:rsidP="00236035">
            <w:pPr>
              <w:kinsoku w:val="0"/>
              <w:overflowPunct w:val="0"/>
              <w:spacing w:line="420" w:lineRule="exact"/>
              <w:ind w:left="737" w:hangingChars="307" w:hanging="737"/>
              <w:jc w:val="both"/>
              <w:textAlignment w:val="center"/>
              <w:rPr>
                <w:rFonts w:eastAsia="標楷體"/>
              </w:rPr>
            </w:pPr>
          </w:p>
          <w:p w:rsidR="00236035" w:rsidRDefault="00236035" w:rsidP="00236035">
            <w:pPr>
              <w:kinsoku w:val="0"/>
              <w:overflowPunct w:val="0"/>
              <w:spacing w:line="420" w:lineRule="exact"/>
              <w:ind w:left="737" w:hangingChars="307" w:hanging="737"/>
              <w:jc w:val="both"/>
              <w:textAlignment w:val="center"/>
              <w:rPr>
                <w:rFonts w:eastAsia="標楷體"/>
              </w:rPr>
            </w:pPr>
          </w:p>
          <w:p w:rsidR="00236035" w:rsidRDefault="00236035" w:rsidP="00236035">
            <w:pPr>
              <w:kinsoku w:val="0"/>
              <w:overflowPunct w:val="0"/>
              <w:spacing w:line="420" w:lineRule="exact"/>
              <w:ind w:left="737" w:hangingChars="307" w:hanging="737"/>
              <w:jc w:val="both"/>
              <w:textAlignment w:val="center"/>
              <w:rPr>
                <w:rFonts w:eastAsia="標楷體"/>
              </w:rPr>
            </w:pPr>
          </w:p>
          <w:p w:rsidR="00236035" w:rsidRPr="00390130" w:rsidRDefault="00236035" w:rsidP="00FF206E">
            <w:pPr>
              <w:kinsoku w:val="0"/>
              <w:overflowPunct w:val="0"/>
              <w:spacing w:line="420" w:lineRule="exact"/>
              <w:ind w:leftChars="307" w:left="737" w:firstLine="1"/>
              <w:jc w:val="both"/>
              <w:textAlignment w:val="center"/>
              <w:rPr>
                <w:rFonts w:eastAsia="標楷體"/>
              </w:rPr>
            </w:pPr>
            <w:r w:rsidRPr="00D50BE9">
              <w:rPr>
                <w:rFonts w:eastAsia="標楷體"/>
              </w:rPr>
              <w:lastRenderedPageBreak/>
              <w:t>另針對因併購而反映所承受保險契約公允價值之其他準備，應提供該準備金之歷史變動明細表且說明變動原因。</w:t>
            </w:r>
          </w:p>
        </w:tc>
        <w:tc>
          <w:tcPr>
            <w:tcW w:w="3628" w:type="dxa"/>
          </w:tcPr>
          <w:p w:rsidR="00DD6868" w:rsidRDefault="00DD6868" w:rsidP="00DD6868">
            <w:pPr>
              <w:kinsoku w:val="0"/>
              <w:overflowPunct w:val="0"/>
              <w:spacing w:line="440" w:lineRule="exact"/>
              <w:ind w:left="720" w:hangingChars="300" w:hanging="720"/>
              <w:jc w:val="both"/>
              <w:textAlignment w:val="center"/>
              <w:rPr>
                <w:rFonts w:eastAsia="標楷體"/>
              </w:rPr>
            </w:pPr>
            <w:r>
              <w:rPr>
                <w:rFonts w:eastAsia="標楷體" w:hint="eastAsia"/>
              </w:rPr>
              <w:lastRenderedPageBreak/>
              <w:t>二十、</w:t>
            </w:r>
            <w:r w:rsidRPr="00D50BE9">
              <w:rPr>
                <w:rFonts w:eastAsia="標楷體"/>
              </w:rPr>
              <w:t>簽證精算人員進行準備金適足性測試前，應檢視各種準備金提存金額之正確性</w:t>
            </w:r>
            <w:r w:rsidRPr="00DD6868">
              <w:rPr>
                <w:rFonts w:eastAsia="標楷體" w:hint="eastAsia"/>
                <w:u w:val="single"/>
              </w:rPr>
              <w:t>(</w:t>
            </w:r>
            <w:r w:rsidRPr="00DD6868">
              <w:rPr>
                <w:rFonts w:eastAsia="標楷體"/>
                <w:u w:val="single"/>
              </w:rPr>
              <w:t>如負債適足準備金、次標準體準備金、停</w:t>
            </w:r>
            <w:r w:rsidRPr="00DD6868">
              <w:rPr>
                <w:rFonts w:eastAsia="標楷體"/>
                <w:u w:val="single"/>
              </w:rPr>
              <w:t>/</w:t>
            </w:r>
            <w:r w:rsidRPr="00DD6868">
              <w:rPr>
                <w:rFonts w:eastAsia="標楷體"/>
                <w:u w:val="single"/>
              </w:rPr>
              <w:t>失效準備金、死利差互抵準備金、紅利增額繳清準備金、紅利儲存生息準備金、應計紅利準備金、保費不足準備金等，但不限於上述項目</w:t>
            </w:r>
            <w:r w:rsidRPr="00DD6868">
              <w:rPr>
                <w:rFonts w:eastAsia="標楷體" w:hint="eastAsia"/>
                <w:u w:val="single"/>
              </w:rPr>
              <w:t>)</w:t>
            </w:r>
            <w:r w:rsidRPr="00D50BE9">
              <w:rPr>
                <w:rFonts w:eastAsia="標楷體"/>
              </w:rPr>
              <w:t>，若法令未規定者應說明其合理性</w:t>
            </w:r>
            <w:r w:rsidRPr="00971029">
              <w:rPr>
                <w:rFonts w:eastAsia="標楷體"/>
                <w:u w:val="single"/>
              </w:rPr>
              <w:t>，其中短期險保費不足準備金應提供現行採用之提存公式，並說明參照人身保險業簽證精算人員實務處理原則進行檢視之結果</w:t>
            </w:r>
            <w:r w:rsidRPr="00D50BE9">
              <w:rPr>
                <w:rFonts w:eastAsia="標楷體"/>
              </w:rPr>
              <w:t>。</w:t>
            </w:r>
          </w:p>
          <w:p w:rsidR="00236035" w:rsidRPr="00390130" w:rsidRDefault="00236035" w:rsidP="00236035">
            <w:pPr>
              <w:kinsoku w:val="0"/>
              <w:overflowPunct w:val="0"/>
              <w:spacing w:line="420" w:lineRule="exact"/>
              <w:ind w:leftChars="307" w:left="737" w:firstLine="1"/>
              <w:jc w:val="both"/>
              <w:textAlignment w:val="center"/>
              <w:rPr>
                <w:rFonts w:eastAsia="標楷體"/>
              </w:rPr>
            </w:pPr>
            <w:r w:rsidRPr="00D50BE9">
              <w:rPr>
                <w:rFonts w:eastAsia="標楷體"/>
              </w:rPr>
              <w:lastRenderedPageBreak/>
              <w:t>另針對因併購而反映所承受保險契約公允價值之其他準備，應提供該準備金之歷史變動明細表且說明變動原因。</w:t>
            </w:r>
          </w:p>
        </w:tc>
        <w:tc>
          <w:tcPr>
            <w:tcW w:w="2154" w:type="dxa"/>
          </w:tcPr>
          <w:p w:rsidR="00DD6868" w:rsidRPr="00390130" w:rsidRDefault="00DD6868" w:rsidP="00DD6868">
            <w:pPr>
              <w:kinsoku w:val="0"/>
              <w:overflowPunct w:val="0"/>
              <w:spacing w:line="440" w:lineRule="exact"/>
              <w:jc w:val="both"/>
              <w:textAlignment w:val="center"/>
              <w:rPr>
                <w:rFonts w:eastAsia="標楷體"/>
              </w:rPr>
            </w:pPr>
            <w:r>
              <w:rPr>
                <w:rFonts w:eastAsia="標楷體" w:hint="eastAsia"/>
              </w:rPr>
              <w:lastRenderedPageBreak/>
              <w:t>明定簽證精算人員進行法定準備金提存金額之檢視對象，不侷限於負債項下，</w:t>
            </w:r>
            <w:r w:rsidR="00BC0F90">
              <w:rPr>
                <w:rFonts w:eastAsia="標楷體" w:hint="eastAsia"/>
              </w:rPr>
              <w:t>包含</w:t>
            </w:r>
            <w:r>
              <w:rPr>
                <w:rFonts w:eastAsia="標楷體" w:hint="eastAsia"/>
              </w:rPr>
              <w:t>依</w:t>
            </w:r>
            <w:r w:rsidRPr="00DD6868">
              <w:rPr>
                <w:rFonts w:ascii="標楷體" w:eastAsia="標楷體" w:hAnsi="標楷體" w:hint="eastAsia"/>
              </w:rPr>
              <w:t>「</w:t>
            </w:r>
            <w:r w:rsidRPr="00DD6868">
              <w:rPr>
                <w:rFonts w:eastAsia="標楷體" w:hint="eastAsia"/>
              </w:rPr>
              <w:t>保險業各種準備金提存辦法</w:t>
            </w:r>
            <w:r w:rsidRPr="00DD6868">
              <w:rPr>
                <w:rFonts w:ascii="標楷體" w:eastAsia="標楷體" w:hAnsi="標楷體" w:hint="eastAsia"/>
              </w:rPr>
              <w:t>」及相關函令</w:t>
            </w:r>
            <w:r w:rsidRPr="00DD6868">
              <w:rPr>
                <w:rFonts w:eastAsia="標楷體" w:hint="eastAsia"/>
              </w:rPr>
              <w:t>規定</w:t>
            </w:r>
            <w:r>
              <w:rPr>
                <w:rFonts w:eastAsia="標楷體" w:hint="eastAsia"/>
              </w:rPr>
              <w:t>和</w:t>
            </w:r>
            <w:r w:rsidR="00236035">
              <w:rPr>
                <w:rFonts w:eastAsia="標楷體" w:hint="eastAsia"/>
              </w:rPr>
              <w:t>保險</w:t>
            </w:r>
            <w:r>
              <w:rPr>
                <w:rFonts w:eastAsia="標楷體" w:hint="eastAsia"/>
              </w:rPr>
              <w:t>契約有關之準備金均應進行檢視，</w:t>
            </w:r>
            <w:r w:rsidR="00236035">
              <w:rPr>
                <w:rFonts w:eastAsia="標楷體" w:hint="eastAsia"/>
              </w:rPr>
              <w:t>但得不包含外匯價格變動準備金</w:t>
            </w:r>
            <w:r w:rsidR="00FF206E">
              <w:rPr>
                <w:rFonts w:eastAsia="標楷體" w:hint="eastAsia"/>
              </w:rPr>
              <w:t>，爰於第一項修正相關文字，以資明確</w:t>
            </w:r>
            <w:r w:rsidR="00236035">
              <w:rPr>
                <w:rFonts w:eastAsia="標楷體" w:hint="eastAsia"/>
              </w:rPr>
              <w:t>。</w:t>
            </w:r>
          </w:p>
        </w:tc>
      </w:tr>
      <w:tr w:rsidR="00390130" w:rsidRPr="00390130" w:rsidTr="00390130">
        <w:trPr>
          <w:trHeight w:val="20"/>
        </w:trPr>
        <w:tc>
          <w:tcPr>
            <w:tcW w:w="3628" w:type="dxa"/>
          </w:tcPr>
          <w:p w:rsidR="00EE5689" w:rsidRPr="00390130" w:rsidRDefault="00EE5689" w:rsidP="00390130">
            <w:pPr>
              <w:kinsoku w:val="0"/>
              <w:overflowPunct w:val="0"/>
              <w:spacing w:line="440" w:lineRule="exact"/>
              <w:ind w:left="960" w:hangingChars="400" w:hanging="960"/>
              <w:jc w:val="both"/>
              <w:textAlignment w:val="center"/>
              <w:rPr>
                <w:rFonts w:eastAsia="標楷體"/>
              </w:rPr>
            </w:pPr>
            <w:r w:rsidRPr="00390130">
              <w:rPr>
                <w:rFonts w:eastAsia="標楷體"/>
              </w:rPr>
              <w:lastRenderedPageBreak/>
              <w:t>二十一、簽證精算人員應提供國際財務報導準則第</w:t>
            </w:r>
            <w:r w:rsidRPr="00390130">
              <w:rPr>
                <w:rFonts w:eastAsia="標楷體"/>
              </w:rPr>
              <w:t>4</w:t>
            </w:r>
            <w:r w:rsidRPr="00390130">
              <w:rPr>
                <w:rFonts w:eastAsia="標楷體"/>
              </w:rPr>
              <w:t>號</w:t>
            </w:r>
            <w:r w:rsidR="00D027B8">
              <w:rPr>
                <w:rFonts w:eastAsia="標楷體" w:hint="eastAsia"/>
              </w:rPr>
              <w:t>(</w:t>
            </w:r>
            <w:r w:rsidRPr="00390130">
              <w:rPr>
                <w:rFonts w:eastAsia="標楷體"/>
              </w:rPr>
              <w:t>簡稱</w:t>
            </w:r>
            <w:r w:rsidRPr="00390130">
              <w:rPr>
                <w:rFonts w:eastAsia="標楷體"/>
              </w:rPr>
              <w:t>IFRS 4</w:t>
            </w:r>
            <w:r w:rsidR="00D027B8">
              <w:rPr>
                <w:rFonts w:eastAsia="標楷體" w:hint="eastAsia"/>
              </w:rPr>
              <w:t>)</w:t>
            </w:r>
            <w:r w:rsidRPr="00390130">
              <w:rPr>
                <w:rFonts w:eastAsia="標楷體"/>
              </w:rPr>
              <w:t>負債適足性測試之相關內容，至少應包括下列各款：</w:t>
            </w:r>
          </w:p>
          <w:p w:rsidR="00EE5689" w:rsidRPr="00390130" w:rsidRDefault="00D027B8" w:rsidP="00D027B8">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一</w:t>
            </w:r>
            <w:r>
              <w:rPr>
                <w:rFonts w:eastAsia="標楷體" w:hint="eastAsia"/>
              </w:rPr>
              <w:t>)</w:t>
            </w:r>
            <w:r w:rsidR="00EE5689" w:rsidRPr="00390130">
              <w:rPr>
                <w:rFonts w:eastAsia="標楷體"/>
              </w:rPr>
              <w:t>納入測試之商品。如有未納入測試之商品，則應提供商品明細並說明顯著保險風險之判斷過程。</w:t>
            </w:r>
          </w:p>
          <w:p w:rsidR="00EE5689" w:rsidRPr="00390130" w:rsidRDefault="00D027B8" w:rsidP="00D027B8">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二</w:t>
            </w:r>
            <w:r>
              <w:rPr>
                <w:rFonts w:eastAsia="標楷體" w:hint="eastAsia"/>
              </w:rPr>
              <w:t>)</w:t>
            </w:r>
            <w:r w:rsidR="00EE5689" w:rsidRPr="00390130">
              <w:rPr>
                <w:rFonts w:eastAsia="標楷體"/>
              </w:rPr>
              <w:t>相關假設</w:t>
            </w:r>
            <w:r w:rsidR="00866F61" w:rsidRPr="00390130">
              <w:rPr>
                <w:rFonts w:eastAsia="標楷體"/>
                <w:u w:val="single"/>
              </w:rPr>
              <w:t>。</w:t>
            </w:r>
            <w:r w:rsidR="00EE5689" w:rsidRPr="00390130">
              <w:rPr>
                <w:rFonts w:eastAsia="標楷體"/>
              </w:rPr>
              <w:t>假設調整方式應具有一致性，應以評價日或上一季現時資訊為基礎。</w:t>
            </w:r>
          </w:p>
          <w:p w:rsidR="00EE5689" w:rsidRPr="00390130" w:rsidRDefault="00EE5689" w:rsidP="00390130">
            <w:pPr>
              <w:kinsoku w:val="0"/>
              <w:overflowPunct w:val="0"/>
              <w:spacing w:line="440" w:lineRule="exact"/>
              <w:ind w:leftChars="400" w:left="1680" w:hangingChars="300" w:hanging="720"/>
              <w:jc w:val="both"/>
              <w:textAlignment w:val="center"/>
              <w:rPr>
                <w:rFonts w:eastAsia="標楷體"/>
              </w:rPr>
            </w:pPr>
          </w:p>
          <w:p w:rsidR="00EE5689" w:rsidRPr="00390130" w:rsidRDefault="00EE5689" w:rsidP="00390130">
            <w:pPr>
              <w:kinsoku w:val="0"/>
              <w:overflowPunct w:val="0"/>
              <w:spacing w:line="440" w:lineRule="exact"/>
              <w:ind w:leftChars="400" w:left="1680" w:hangingChars="300" w:hanging="720"/>
              <w:jc w:val="both"/>
              <w:textAlignment w:val="center"/>
              <w:rPr>
                <w:rFonts w:eastAsia="標楷體"/>
              </w:rPr>
            </w:pPr>
          </w:p>
          <w:p w:rsidR="00EE5689" w:rsidRPr="00390130" w:rsidRDefault="00EE5689" w:rsidP="00390130">
            <w:pPr>
              <w:kinsoku w:val="0"/>
              <w:overflowPunct w:val="0"/>
              <w:spacing w:line="440" w:lineRule="exact"/>
              <w:ind w:leftChars="400" w:left="1680" w:hangingChars="300" w:hanging="720"/>
              <w:jc w:val="both"/>
              <w:textAlignment w:val="center"/>
              <w:rPr>
                <w:rFonts w:eastAsia="標楷體"/>
              </w:rPr>
            </w:pPr>
          </w:p>
          <w:p w:rsidR="00EE5689" w:rsidRPr="00390130" w:rsidRDefault="00EE5689" w:rsidP="00390130">
            <w:pPr>
              <w:kinsoku w:val="0"/>
              <w:overflowPunct w:val="0"/>
              <w:spacing w:line="440" w:lineRule="exact"/>
              <w:ind w:leftChars="400" w:left="1680" w:hangingChars="300" w:hanging="720"/>
              <w:jc w:val="both"/>
              <w:textAlignment w:val="center"/>
              <w:rPr>
                <w:rFonts w:eastAsia="標楷體"/>
              </w:rPr>
            </w:pP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三</w:t>
            </w:r>
            <w:r>
              <w:rPr>
                <w:rFonts w:eastAsia="標楷體" w:hint="eastAsia"/>
              </w:rPr>
              <w:t>)</w:t>
            </w:r>
            <w:r w:rsidR="00EE5689" w:rsidRPr="00390130">
              <w:rPr>
                <w:rFonts w:eastAsia="標楷體"/>
              </w:rPr>
              <w:t>測試方法及測試結果。</w:t>
            </w:r>
          </w:p>
          <w:p w:rsidR="00EE5689" w:rsidRPr="00390130" w:rsidRDefault="00EE5689" w:rsidP="00390130">
            <w:pPr>
              <w:kinsoku w:val="0"/>
              <w:overflowPunct w:val="0"/>
              <w:spacing w:line="440" w:lineRule="exact"/>
              <w:ind w:leftChars="400" w:left="960"/>
              <w:jc w:val="both"/>
              <w:textAlignment w:val="center"/>
              <w:rPr>
                <w:rFonts w:eastAsia="標楷體"/>
              </w:rPr>
            </w:pPr>
            <w:r w:rsidRPr="00390130">
              <w:rPr>
                <w:rFonts w:eastAsia="標楷體"/>
              </w:rPr>
              <w:t>前項第二款應說明所採折現率之評估方法、評估結果及其合理性，該</w:t>
            </w:r>
            <w:r w:rsidRPr="00390130">
              <w:rPr>
                <w:rFonts w:eastAsia="標楷體"/>
              </w:rPr>
              <w:lastRenderedPageBreak/>
              <w:t>合理性說明應包括假設之一致性及變動之合理性。其中折現率評估方法如採公司精算簽證報告最佳估計情境下之投資組合報酬率者，應將基礎利率、資產配置、風險溢酬、違約成本、避險成本等一併納入考量，並應說明各評估時點調整基礎利率之方式及其合理性；如採不同評估方式者，應分析與精算簽證報告所載公司最佳估計情境下投資組合報酬率之差異及其合理性。</w:t>
            </w:r>
          </w:p>
          <w:p w:rsidR="00EE5689" w:rsidRPr="00390130" w:rsidRDefault="00EE5689" w:rsidP="00940BD3">
            <w:pPr>
              <w:kinsoku w:val="0"/>
              <w:overflowPunct w:val="0"/>
              <w:spacing w:line="440" w:lineRule="exact"/>
              <w:ind w:leftChars="400" w:left="960"/>
              <w:jc w:val="both"/>
              <w:textAlignment w:val="center"/>
              <w:rPr>
                <w:rFonts w:eastAsia="標楷體"/>
              </w:rPr>
            </w:pPr>
            <w:r w:rsidRPr="00390130">
              <w:rPr>
                <w:rFonts w:eastAsia="標楷體"/>
              </w:rPr>
              <w:t>第一項測試方法若採用總保費評價法者，應提供各年度現金流量表。</w:t>
            </w:r>
            <w:r w:rsidR="00940BD3">
              <w:rPr>
                <w:rFonts w:eastAsia="標楷體" w:hint="eastAsia"/>
              </w:rPr>
              <w:t>(</w:t>
            </w:r>
            <w:r w:rsidRPr="00390130">
              <w:rPr>
                <w:rFonts w:eastAsia="標楷體"/>
              </w:rPr>
              <w:t>詳指定附表</w:t>
            </w:r>
            <w:r w:rsidRPr="00390130">
              <w:rPr>
                <w:rFonts w:eastAsia="標楷體"/>
              </w:rPr>
              <w:t>7-B</w:t>
            </w:r>
            <w:r w:rsidR="00940BD3">
              <w:rPr>
                <w:rFonts w:eastAsia="標楷體" w:hint="eastAsia"/>
              </w:rPr>
              <w:t>)</w:t>
            </w:r>
          </w:p>
        </w:tc>
        <w:tc>
          <w:tcPr>
            <w:tcW w:w="3628" w:type="dxa"/>
          </w:tcPr>
          <w:p w:rsidR="00EE5689" w:rsidRPr="00390130" w:rsidRDefault="00EE5689" w:rsidP="00390130">
            <w:pPr>
              <w:kinsoku w:val="0"/>
              <w:overflowPunct w:val="0"/>
              <w:spacing w:line="440" w:lineRule="exact"/>
              <w:ind w:left="960" w:hangingChars="400" w:hanging="960"/>
              <w:jc w:val="both"/>
              <w:textAlignment w:val="center"/>
              <w:rPr>
                <w:rFonts w:eastAsia="標楷體"/>
              </w:rPr>
            </w:pPr>
            <w:r w:rsidRPr="00390130">
              <w:rPr>
                <w:rFonts w:eastAsia="標楷體"/>
              </w:rPr>
              <w:lastRenderedPageBreak/>
              <w:t>二十一、簽證精算人員應提供國際財務報導準則第</w:t>
            </w:r>
            <w:r w:rsidRPr="00390130">
              <w:rPr>
                <w:rFonts w:eastAsia="標楷體"/>
              </w:rPr>
              <w:t>4</w:t>
            </w:r>
            <w:r w:rsidRPr="00390130">
              <w:rPr>
                <w:rFonts w:eastAsia="標楷體"/>
              </w:rPr>
              <w:t>號</w:t>
            </w:r>
            <w:r w:rsidR="0016355E">
              <w:rPr>
                <w:rFonts w:eastAsia="標楷體" w:hint="eastAsia"/>
              </w:rPr>
              <w:t>(</w:t>
            </w:r>
            <w:r w:rsidRPr="00390130">
              <w:rPr>
                <w:rFonts w:eastAsia="標楷體"/>
              </w:rPr>
              <w:t>簡稱</w:t>
            </w:r>
            <w:r w:rsidRPr="00390130">
              <w:rPr>
                <w:rFonts w:eastAsia="標楷體"/>
              </w:rPr>
              <w:t>IFRS 4</w:t>
            </w:r>
            <w:r w:rsidR="0016355E">
              <w:rPr>
                <w:rFonts w:eastAsia="標楷體"/>
              </w:rPr>
              <w:t>)</w:t>
            </w:r>
            <w:r w:rsidRPr="00390130">
              <w:rPr>
                <w:rFonts w:eastAsia="標楷體"/>
              </w:rPr>
              <w:t>負債適足性測試之相關內容，至少應包括下列各款：</w:t>
            </w: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一</w:t>
            </w:r>
            <w:r>
              <w:rPr>
                <w:rFonts w:eastAsia="標楷體" w:hint="eastAsia"/>
              </w:rPr>
              <w:t>)</w:t>
            </w:r>
            <w:r w:rsidR="00EE5689" w:rsidRPr="00390130">
              <w:rPr>
                <w:rFonts w:eastAsia="標楷體"/>
              </w:rPr>
              <w:t>納入測試之商品。如有未納入測試之商品，則應提供商品明細並說明顯著保險風險之判斷過程。</w:t>
            </w: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二</w:t>
            </w:r>
            <w:r>
              <w:rPr>
                <w:rFonts w:eastAsia="標楷體" w:hint="eastAsia"/>
              </w:rPr>
              <w:t>)</w:t>
            </w:r>
            <w:r w:rsidR="00EE5689" w:rsidRPr="00390130">
              <w:rPr>
                <w:rFonts w:eastAsia="標楷體"/>
              </w:rPr>
              <w:t>相關假設</w:t>
            </w:r>
            <w:r w:rsidR="00EE5689" w:rsidRPr="00390130">
              <w:rPr>
                <w:rFonts w:eastAsia="標楷體"/>
                <w:u w:val="single"/>
              </w:rPr>
              <w:t>，包含與上一年度假設之差異對照表以及與準備金適足性測試假設之差異對照表，</w:t>
            </w:r>
            <w:r w:rsidR="00EE5689" w:rsidRPr="00390130">
              <w:rPr>
                <w:rFonts w:eastAsia="標楷體"/>
              </w:rPr>
              <w:t>假設調整方式應具有一致性，應以評價日或上一季現時資訊為基礎。</w:t>
            </w: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三</w:t>
            </w:r>
            <w:r>
              <w:rPr>
                <w:rFonts w:eastAsia="標楷體" w:hint="eastAsia"/>
              </w:rPr>
              <w:t>)</w:t>
            </w:r>
            <w:r w:rsidR="00EE5689" w:rsidRPr="00390130">
              <w:rPr>
                <w:rFonts w:eastAsia="標楷體"/>
              </w:rPr>
              <w:t>測試方法及測試結果。</w:t>
            </w:r>
          </w:p>
          <w:p w:rsidR="00EE5689" w:rsidRPr="00390130" w:rsidRDefault="00EE5689" w:rsidP="00390130">
            <w:pPr>
              <w:kinsoku w:val="0"/>
              <w:overflowPunct w:val="0"/>
              <w:spacing w:line="440" w:lineRule="exact"/>
              <w:ind w:leftChars="400" w:left="960"/>
              <w:jc w:val="both"/>
              <w:textAlignment w:val="center"/>
              <w:rPr>
                <w:rFonts w:eastAsia="標楷體"/>
              </w:rPr>
            </w:pPr>
            <w:r w:rsidRPr="00390130">
              <w:rPr>
                <w:rFonts w:eastAsia="標楷體"/>
              </w:rPr>
              <w:t>前項第二款應說明所採折現率之評估方法、評估結果及其合理性，該</w:t>
            </w:r>
            <w:r w:rsidRPr="00390130">
              <w:rPr>
                <w:rFonts w:eastAsia="標楷體"/>
              </w:rPr>
              <w:lastRenderedPageBreak/>
              <w:t>合理性說明應包括假設之一致性及變動之合理性。其中折現率評估方法如採公司精算簽證報告最佳估計情境下之投資組合報酬率者，應將基礎利率、資產配置、風險溢酬、違約成本、避險成本等一併納入考量，並應說明各評估時點調整基礎利率之方式及其合理性；如採不同評估方式者，應分析與精算簽證報告所載公司最佳估計情境下投資組合報酬率之差異及其合理性。</w:t>
            </w:r>
          </w:p>
          <w:p w:rsidR="00EE5689" w:rsidRPr="00390130" w:rsidRDefault="00EE5689" w:rsidP="00940BD3">
            <w:pPr>
              <w:kinsoku w:val="0"/>
              <w:overflowPunct w:val="0"/>
              <w:spacing w:line="440" w:lineRule="exact"/>
              <w:ind w:leftChars="400" w:left="960"/>
              <w:jc w:val="both"/>
              <w:textAlignment w:val="center"/>
              <w:rPr>
                <w:rFonts w:eastAsia="標楷體"/>
              </w:rPr>
            </w:pPr>
            <w:r w:rsidRPr="00390130">
              <w:rPr>
                <w:rFonts w:eastAsia="標楷體"/>
              </w:rPr>
              <w:t>第一項測試方法若採用總保費評價法者，應提供各年度現金流量表。</w:t>
            </w:r>
            <w:r w:rsidR="00940BD3">
              <w:rPr>
                <w:rFonts w:eastAsia="標楷體" w:hint="eastAsia"/>
              </w:rPr>
              <w:t>(</w:t>
            </w:r>
            <w:r w:rsidRPr="00390130">
              <w:rPr>
                <w:rFonts w:eastAsia="標楷體"/>
              </w:rPr>
              <w:t>詳指定附表</w:t>
            </w:r>
            <w:r w:rsidRPr="00390130">
              <w:rPr>
                <w:rFonts w:eastAsia="標楷體"/>
              </w:rPr>
              <w:t>7-B</w:t>
            </w:r>
            <w:r w:rsidR="00940BD3">
              <w:rPr>
                <w:rFonts w:eastAsia="標楷體" w:hint="eastAsia"/>
              </w:rPr>
              <w:t>)</w:t>
            </w:r>
          </w:p>
        </w:tc>
        <w:tc>
          <w:tcPr>
            <w:tcW w:w="2154" w:type="dxa"/>
          </w:tcPr>
          <w:p w:rsidR="00EE5689" w:rsidRPr="00390130" w:rsidRDefault="006C438D" w:rsidP="00940BD3">
            <w:pPr>
              <w:kinsoku w:val="0"/>
              <w:overflowPunct w:val="0"/>
              <w:spacing w:line="440" w:lineRule="exact"/>
              <w:jc w:val="both"/>
              <w:textAlignment w:val="center"/>
              <w:rPr>
                <w:rFonts w:eastAsia="標楷體"/>
              </w:rPr>
            </w:pPr>
            <w:r w:rsidRPr="00390130">
              <w:rPr>
                <w:rFonts w:eastAsia="標楷體"/>
              </w:rPr>
              <w:lastRenderedPageBreak/>
              <w:t>考量負債適足性測試已實施多年</w:t>
            </w:r>
            <w:r w:rsidR="00940BD3">
              <w:rPr>
                <w:rFonts w:eastAsia="標楷體" w:hint="eastAsia"/>
              </w:rPr>
              <w:t>，</w:t>
            </w:r>
            <w:r w:rsidR="00940BD3" w:rsidRPr="00390130">
              <w:rPr>
                <w:rFonts w:eastAsia="標楷體"/>
              </w:rPr>
              <w:t>為簡化簽證作業</w:t>
            </w:r>
            <w:r w:rsidRPr="00390130">
              <w:rPr>
                <w:rFonts w:eastAsia="標楷體"/>
              </w:rPr>
              <w:t>，</w:t>
            </w:r>
            <w:r w:rsidR="00940BD3">
              <w:rPr>
                <w:rFonts w:eastAsia="標楷體" w:hint="eastAsia"/>
              </w:rPr>
              <w:t>爰</w:t>
            </w:r>
            <w:r w:rsidR="00EE5689" w:rsidRPr="00390130">
              <w:rPr>
                <w:rFonts w:eastAsia="標楷體"/>
              </w:rPr>
              <w:t>刪除假設差異對照表</w:t>
            </w:r>
            <w:r w:rsidR="00940BD3">
              <w:rPr>
                <w:rFonts w:eastAsia="標楷體" w:hint="eastAsia"/>
              </w:rPr>
              <w:t>之提供</w:t>
            </w:r>
            <w:r w:rsidR="00EE5689" w:rsidRPr="00390130">
              <w:rPr>
                <w:rFonts w:eastAsia="標楷體"/>
              </w:rPr>
              <w:t>。</w:t>
            </w:r>
          </w:p>
        </w:tc>
      </w:tr>
      <w:tr w:rsidR="00390130" w:rsidRPr="00390130" w:rsidTr="00390130">
        <w:trPr>
          <w:trHeight w:val="20"/>
        </w:trPr>
        <w:tc>
          <w:tcPr>
            <w:tcW w:w="3628" w:type="dxa"/>
          </w:tcPr>
          <w:p w:rsidR="00EE5689" w:rsidRPr="00390130" w:rsidRDefault="00EE5689" w:rsidP="00390130">
            <w:pPr>
              <w:kinsoku w:val="0"/>
              <w:overflowPunct w:val="0"/>
              <w:spacing w:line="440" w:lineRule="exact"/>
              <w:ind w:left="960" w:hangingChars="400" w:hanging="960"/>
              <w:jc w:val="both"/>
              <w:textAlignment w:val="center"/>
              <w:rPr>
                <w:rFonts w:eastAsia="標楷體"/>
              </w:rPr>
            </w:pPr>
            <w:r w:rsidRPr="00390130">
              <w:rPr>
                <w:rFonts w:eastAsia="標楷體"/>
              </w:rPr>
              <w:lastRenderedPageBreak/>
              <w:t>（刪除）</w:t>
            </w:r>
          </w:p>
        </w:tc>
        <w:tc>
          <w:tcPr>
            <w:tcW w:w="3628" w:type="dxa"/>
          </w:tcPr>
          <w:p w:rsidR="00EE5689" w:rsidRPr="00390130" w:rsidRDefault="00EE5689" w:rsidP="00390130">
            <w:pPr>
              <w:kinsoku w:val="0"/>
              <w:overflowPunct w:val="0"/>
              <w:spacing w:line="440" w:lineRule="exact"/>
              <w:ind w:left="1440" w:hangingChars="600" w:hanging="1440"/>
              <w:jc w:val="both"/>
              <w:textAlignment w:val="center"/>
              <w:rPr>
                <w:rFonts w:eastAsia="標楷體"/>
                <w:u w:val="single"/>
              </w:rPr>
            </w:pPr>
            <w:r w:rsidRPr="00390130">
              <w:rPr>
                <w:rFonts w:eastAsia="標楷體"/>
                <w:u w:val="single"/>
              </w:rPr>
              <w:t>二十八之一、針對長年期健康保險損失率呈現明顯惡化之商品類型，簽證精算人員應於精算備忘錄中單獨提供其負債適足性之測試結果，該測試結果如有不適足者，應將其結果揭</w:t>
            </w:r>
            <w:r w:rsidRPr="00390130">
              <w:rPr>
                <w:rFonts w:eastAsia="標楷體"/>
                <w:u w:val="single"/>
              </w:rPr>
              <w:lastRenderedPageBreak/>
              <w:t>露於精算意見書中，並進一步分析各項罹病率經驗，以說明造成損失率明顯惡化之原因，並據以提出商品設計與定價之精算意見以及有效改善不適足之具體做法。</w:t>
            </w:r>
          </w:p>
          <w:p w:rsidR="00EE5689" w:rsidRPr="00390130" w:rsidRDefault="00EE5689" w:rsidP="00390130">
            <w:pPr>
              <w:kinsoku w:val="0"/>
              <w:overflowPunct w:val="0"/>
              <w:spacing w:line="440" w:lineRule="exact"/>
              <w:ind w:leftChars="600" w:left="1440"/>
              <w:jc w:val="both"/>
              <w:textAlignment w:val="center"/>
              <w:rPr>
                <w:rFonts w:eastAsia="標楷體"/>
                <w:u w:val="single"/>
              </w:rPr>
            </w:pPr>
            <w:r w:rsidRPr="00390130">
              <w:rPr>
                <w:rFonts w:eastAsia="標楷體"/>
                <w:u w:val="single"/>
              </w:rPr>
              <w:t>前項所稱損失率明顯惡化係指損失率持續超過百分之百或依其惡化趨勢預估損失率可能超過百分之百。</w:t>
            </w:r>
          </w:p>
          <w:p w:rsidR="00EE5689" w:rsidRPr="00390130" w:rsidRDefault="00EE5689" w:rsidP="00390130">
            <w:pPr>
              <w:kinsoku w:val="0"/>
              <w:overflowPunct w:val="0"/>
              <w:spacing w:line="440" w:lineRule="exact"/>
              <w:ind w:leftChars="600" w:left="1440"/>
              <w:jc w:val="both"/>
              <w:textAlignment w:val="center"/>
              <w:rPr>
                <w:rFonts w:eastAsia="標楷體"/>
              </w:rPr>
            </w:pPr>
            <w:r w:rsidRPr="00390130">
              <w:rPr>
                <w:rFonts w:eastAsia="標楷體"/>
                <w:u w:val="single"/>
              </w:rPr>
              <w:t>第一項商品類型應至少包括醫療保險、重大疾病或特定傷病保險、癌症保險、長期看護保險及其他健康保險，若該類型中定價採用之罹病率有顯著不同者，應再進一步區分（例如新、舊癌症保險）。</w:t>
            </w:r>
          </w:p>
        </w:tc>
        <w:tc>
          <w:tcPr>
            <w:tcW w:w="2154" w:type="dxa"/>
          </w:tcPr>
          <w:p w:rsidR="00EE5689" w:rsidRPr="00390130" w:rsidRDefault="00EE5689" w:rsidP="00BD0CA1">
            <w:pPr>
              <w:kinsoku w:val="0"/>
              <w:overflowPunct w:val="0"/>
              <w:spacing w:line="440" w:lineRule="exact"/>
              <w:jc w:val="both"/>
              <w:textAlignment w:val="center"/>
              <w:rPr>
                <w:rFonts w:eastAsia="標楷體"/>
              </w:rPr>
            </w:pPr>
            <w:r w:rsidRPr="00390130">
              <w:rPr>
                <w:rFonts w:eastAsia="標楷體"/>
              </w:rPr>
              <w:lastRenderedPageBreak/>
              <w:t>考量補充說明第</w:t>
            </w:r>
            <w:r w:rsidRPr="00390130">
              <w:rPr>
                <w:rFonts w:eastAsia="標楷體"/>
              </w:rPr>
              <w:t>63-2</w:t>
            </w:r>
            <w:r w:rsidR="00940BD3" w:rsidRPr="00BD0CA1">
              <w:rPr>
                <w:rFonts w:eastAsia="標楷體"/>
              </w:rPr>
              <w:t>點</w:t>
            </w:r>
            <w:r w:rsidRPr="00BD0CA1">
              <w:rPr>
                <w:rFonts w:eastAsia="標楷體"/>
              </w:rPr>
              <w:t>已對損失率明顯惡化之商品建立監控機制，為簡化簽證作業，</w:t>
            </w:r>
            <w:r w:rsidR="00BD0CA1">
              <w:rPr>
                <w:rFonts w:eastAsia="標楷體" w:hint="eastAsia"/>
              </w:rPr>
              <w:t>爰刪除本點，但</w:t>
            </w:r>
            <w:r w:rsidR="00BD0CA1" w:rsidRPr="00BD0CA1">
              <w:rPr>
                <w:rFonts w:eastAsia="標楷體"/>
              </w:rPr>
              <w:t>保留「損失率明顯惡化」之相關說明並移至第</w:t>
            </w:r>
            <w:r w:rsidR="00BD0CA1" w:rsidRPr="00BD0CA1">
              <w:rPr>
                <w:rFonts w:eastAsia="標楷體"/>
              </w:rPr>
              <w:t>63-2</w:t>
            </w:r>
            <w:r w:rsidR="00BD0CA1" w:rsidRPr="00BD0CA1">
              <w:rPr>
                <w:rFonts w:eastAsia="標楷體"/>
              </w:rPr>
              <w:t>點。</w:t>
            </w:r>
          </w:p>
        </w:tc>
      </w:tr>
      <w:tr w:rsidR="00390130" w:rsidRPr="00390130" w:rsidTr="00390130">
        <w:trPr>
          <w:trHeight w:val="20"/>
        </w:trPr>
        <w:tc>
          <w:tcPr>
            <w:tcW w:w="3628" w:type="dxa"/>
          </w:tcPr>
          <w:p w:rsidR="00EE5689" w:rsidRPr="00390130" w:rsidRDefault="00EE5689" w:rsidP="00390130">
            <w:pPr>
              <w:kinsoku w:val="0"/>
              <w:overflowPunct w:val="0"/>
              <w:spacing w:line="440" w:lineRule="exact"/>
              <w:ind w:left="960" w:hangingChars="400" w:hanging="960"/>
              <w:jc w:val="both"/>
              <w:textAlignment w:val="center"/>
              <w:rPr>
                <w:rFonts w:eastAsia="標楷體"/>
              </w:rPr>
            </w:pPr>
            <w:r w:rsidRPr="00390130">
              <w:rPr>
                <w:rFonts w:eastAsia="標楷體"/>
              </w:rPr>
              <w:lastRenderedPageBreak/>
              <w:t>二十九、納入保險費率釐訂檢視之商品應包括：</w:t>
            </w: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一</w:t>
            </w:r>
            <w:r>
              <w:rPr>
                <w:rFonts w:eastAsia="標楷體" w:hint="eastAsia"/>
              </w:rPr>
              <w:t>)</w:t>
            </w:r>
            <w:r w:rsidR="00EE5689" w:rsidRPr="00390130">
              <w:rPr>
                <w:rFonts w:eastAsia="標楷體"/>
              </w:rPr>
              <w:t>當年度新契約年繳化保費收入最高前</w:t>
            </w:r>
            <w:r w:rsidR="00EE5689" w:rsidRPr="00390130">
              <w:rPr>
                <w:rFonts w:eastAsia="標楷體"/>
              </w:rPr>
              <w:lastRenderedPageBreak/>
              <w:t>十名</w:t>
            </w:r>
            <w:r>
              <w:rPr>
                <w:rFonts w:eastAsia="標楷體" w:hint="eastAsia"/>
              </w:rPr>
              <w:t>(</w:t>
            </w:r>
            <w:r w:rsidR="00EE5689" w:rsidRPr="00390130">
              <w:rPr>
                <w:rFonts w:eastAsia="標楷體"/>
              </w:rPr>
              <w:t>不含投資型保險商品</w:t>
            </w:r>
            <w:r>
              <w:rPr>
                <w:rFonts w:eastAsia="標楷體" w:hint="eastAsia"/>
              </w:rPr>
              <w:t>)</w:t>
            </w:r>
            <w:r w:rsidR="00EE5689" w:rsidRPr="00390130">
              <w:rPr>
                <w:rFonts w:eastAsia="標楷體"/>
              </w:rPr>
              <w:t>或累積占率達百分之九十之</w:t>
            </w:r>
            <w:r w:rsidR="00EE5689" w:rsidRPr="00236035">
              <w:rPr>
                <w:rFonts w:eastAsia="標楷體"/>
              </w:rPr>
              <w:t>商品</w:t>
            </w:r>
            <w:r w:rsidR="00EE5689" w:rsidRPr="00390130">
              <w:rPr>
                <w:rFonts w:eastAsia="標楷體"/>
              </w:rPr>
              <w:t>。</w:t>
            </w:r>
          </w:p>
          <w:p w:rsidR="00EE5689" w:rsidRPr="00390130" w:rsidRDefault="00EE5689" w:rsidP="00390130">
            <w:pPr>
              <w:kinsoku w:val="0"/>
              <w:overflowPunct w:val="0"/>
              <w:spacing w:line="440" w:lineRule="exact"/>
              <w:ind w:leftChars="400" w:left="1680" w:hangingChars="300" w:hanging="720"/>
              <w:jc w:val="both"/>
              <w:textAlignment w:val="center"/>
              <w:rPr>
                <w:rFonts w:eastAsia="標楷體"/>
              </w:rPr>
            </w:pPr>
          </w:p>
          <w:p w:rsidR="00EE5689" w:rsidRPr="00390130" w:rsidRDefault="00EE5689" w:rsidP="00390130">
            <w:pPr>
              <w:kinsoku w:val="0"/>
              <w:overflowPunct w:val="0"/>
              <w:spacing w:line="440" w:lineRule="exact"/>
              <w:ind w:leftChars="400" w:left="1680" w:hangingChars="300" w:hanging="720"/>
              <w:jc w:val="both"/>
              <w:textAlignment w:val="center"/>
              <w:rPr>
                <w:rFonts w:eastAsia="標楷體"/>
              </w:rPr>
            </w:pPr>
          </w:p>
          <w:p w:rsidR="00EE5689" w:rsidRPr="00390130" w:rsidRDefault="00EE5689" w:rsidP="00390130">
            <w:pPr>
              <w:kinsoku w:val="0"/>
              <w:overflowPunct w:val="0"/>
              <w:spacing w:line="440" w:lineRule="exact"/>
              <w:ind w:leftChars="400" w:left="1680" w:hangingChars="300" w:hanging="720"/>
              <w:jc w:val="both"/>
              <w:textAlignment w:val="center"/>
              <w:rPr>
                <w:rFonts w:eastAsia="標楷體"/>
              </w:rPr>
            </w:pPr>
          </w:p>
          <w:p w:rsidR="00EE5689" w:rsidRPr="00390130" w:rsidRDefault="00EE5689" w:rsidP="00390130">
            <w:pPr>
              <w:kinsoku w:val="0"/>
              <w:overflowPunct w:val="0"/>
              <w:spacing w:line="440" w:lineRule="exact"/>
              <w:ind w:leftChars="400" w:left="1680" w:hangingChars="300" w:hanging="720"/>
              <w:jc w:val="both"/>
              <w:textAlignment w:val="center"/>
              <w:rPr>
                <w:rFonts w:eastAsia="標楷體"/>
              </w:rPr>
            </w:pP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二</w:t>
            </w:r>
            <w:r>
              <w:rPr>
                <w:rFonts w:eastAsia="標楷體" w:hint="eastAsia"/>
              </w:rPr>
              <w:t>)</w:t>
            </w:r>
            <w:r w:rsidR="00EE5689" w:rsidRPr="00390130">
              <w:rPr>
                <w:rFonts w:eastAsia="標楷體"/>
              </w:rPr>
              <w:t>有費率不適足之虞且影響重大之可調整紅利揭露值的商品。</w:t>
            </w: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三</w:t>
            </w:r>
            <w:r>
              <w:rPr>
                <w:rFonts w:eastAsia="標楷體" w:hint="eastAsia"/>
              </w:rPr>
              <w:t>)</w:t>
            </w:r>
            <w:r w:rsidR="00EE5689" w:rsidRPr="00390130">
              <w:rPr>
                <w:rFonts w:eastAsia="標楷體"/>
              </w:rPr>
              <w:t>有費率不適足之虞且影響重大之可調整保費的有效契約商品。</w:t>
            </w:r>
          </w:p>
          <w:p w:rsidR="00FD7010" w:rsidRPr="00390130" w:rsidRDefault="00940BD3" w:rsidP="00940BD3">
            <w:pPr>
              <w:kinsoku w:val="0"/>
              <w:overflowPunct w:val="0"/>
              <w:spacing w:line="440" w:lineRule="exact"/>
              <w:ind w:leftChars="399" w:left="1443" w:hangingChars="202" w:hanging="485"/>
              <w:jc w:val="both"/>
              <w:textAlignment w:val="center"/>
              <w:rPr>
                <w:rFonts w:eastAsia="標楷體"/>
                <w:u w:val="single"/>
              </w:rPr>
            </w:pPr>
            <w:r>
              <w:rPr>
                <w:rFonts w:eastAsia="標楷體" w:hint="eastAsia"/>
                <w:u w:val="single"/>
              </w:rPr>
              <w:t>(</w:t>
            </w:r>
            <w:r w:rsidR="00FD7010" w:rsidRPr="00390130">
              <w:rPr>
                <w:rFonts w:eastAsia="標楷體"/>
                <w:u w:val="single"/>
              </w:rPr>
              <w:t>四</w:t>
            </w:r>
            <w:r>
              <w:rPr>
                <w:rFonts w:eastAsia="標楷體" w:hint="eastAsia"/>
                <w:u w:val="single"/>
              </w:rPr>
              <w:t>)</w:t>
            </w:r>
            <w:r w:rsidR="00FD7010" w:rsidRPr="00390130">
              <w:rPr>
                <w:rFonts w:eastAsia="標楷體"/>
                <w:u w:val="single"/>
              </w:rPr>
              <w:t>以人民幣收付之非投資型保險商品，其新契約年繳化保費收入為最高前十名或累積占率達百分之九十之商品。</w:t>
            </w:r>
          </w:p>
          <w:p w:rsidR="00EE5689" w:rsidRPr="00390130" w:rsidRDefault="00EE5689" w:rsidP="00390130">
            <w:pPr>
              <w:kinsoku w:val="0"/>
              <w:overflowPunct w:val="0"/>
              <w:spacing w:line="440" w:lineRule="exact"/>
              <w:ind w:leftChars="400" w:left="960"/>
              <w:jc w:val="both"/>
              <w:textAlignment w:val="center"/>
              <w:rPr>
                <w:rFonts w:eastAsia="標楷體"/>
              </w:rPr>
            </w:pPr>
            <w:r w:rsidRPr="00390130">
              <w:rPr>
                <w:rFonts w:eastAsia="標楷體"/>
                <w:u w:val="single"/>
              </w:rPr>
              <w:t>簽證精算人員應</w:t>
            </w:r>
            <w:r w:rsidRPr="00390130">
              <w:rPr>
                <w:rFonts w:eastAsia="標楷體"/>
              </w:rPr>
              <w:t>提供保險費率釐訂納入測試商品之統計表</w:t>
            </w:r>
            <w:r w:rsidR="0016355E">
              <w:rPr>
                <w:rFonts w:eastAsia="標楷體" w:hint="eastAsia"/>
              </w:rPr>
              <w:t>(</w:t>
            </w:r>
            <w:r w:rsidRPr="00390130">
              <w:rPr>
                <w:rFonts w:eastAsia="標楷體"/>
              </w:rPr>
              <w:t>詳指定附表</w:t>
            </w:r>
            <w:r w:rsidRPr="00390130">
              <w:rPr>
                <w:rFonts w:eastAsia="標楷體"/>
              </w:rPr>
              <w:t>8</w:t>
            </w:r>
            <w:r w:rsidR="0016355E">
              <w:rPr>
                <w:rFonts w:eastAsia="標楷體"/>
              </w:rPr>
              <w:t>)</w:t>
            </w:r>
            <w:r w:rsidRPr="00390130">
              <w:rPr>
                <w:rFonts w:eastAsia="標楷體"/>
              </w:rPr>
              <w:t>。</w:t>
            </w:r>
          </w:p>
          <w:p w:rsidR="00FD7010" w:rsidRPr="00390130" w:rsidRDefault="00FD7010" w:rsidP="00390130">
            <w:pPr>
              <w:kinsoku w:val="0"/>
              <w:overflowPunct w:val="0"/>
              <w:spacing w:line="440" w:lineRule="exact"/>
              <w:ind w:leftChars="400" w:left="960"/>
              <w:jc w:val="both"/>
              <w:textAlignment w:val="center"/>
              <w:rPr>
                <w:rFonts w:eastAsia="標楷體"/>
              </w:rPr>
            </w:pPr>
          </w:p>
          <w:p w:rsidR="00FD7010" w:rsidRPr="00390130" w:rsidRDefault="00FD7010" w:rsidP="00390130">
            <w:pPr>
              <w:kinsoku w:val="0"/>
              <w:overflowPunct w:val="0"/>
              <w:spacing w:line="440" w:lineRule="exact"/>
              <w:ind w:leftChars="400" w:left="960"/>
              <w:jc w:val="both"/>
              <w:textAlignment w:val="center"/>
              <w:rPr>
                <w:rFonts w:eastAsia="標楷體"/>
              </w:rPr>
            </w:pPr>
          </w:p>
          <w:p w:rsidR="00EE5689" w:rsidRPr="00390130" w:rsidRDefault="00EE5689" w:rsidP="00390130">
            <w:pPr>
              <w:kinsoku w:val="0"/>
              <w:overflowPunct w:val="0"/>
              <w:spacing w:line="440" w:lineRule="exact"/>
              <w:ind w:leftChars="400" w:left="960"/>
              <w:jc w:val="both"/>
              <w:textAlignment w:val="center"/>
              <w:rPr>
                <w:rFonts w:eastAsia="標楷體"/>
              </w:rPr>
            </w:pPr>
            <w:r w:rsidRPr="00390130">
              <w:rPr>
                <w:rFonts w:eastAsia="標楷體"/>
              </w:rPr>
              <w:t>第一項第一款中如已於當年度內</w:t>
            </w:r>
            <w:r w:rsidRPr="00390130">
              <w:rPr>
                <w:rFonts w:eastAsia="標楷體"/>
                <w:u w:val="single"/>
              </w:rPr>
              <w:t>停售</w:t>
            </w:r>
            <w:r w:rsidR="00FD7010" w:rsidRPr="00390130">
              <w:rPr>
                <w:rFonts w:eastAsia="標楷體"/>
                <w:u w:val="single"/>
              </w:rPr>
              <w:t>且有費率</w:t>
            </w:r>
            <w:r w:rsidR="00FD7010" w:rsidRPr="00390130">
              <w:rPr>
                <w:rFonts w:eastAsia="標楷體"/>
                <w:u w:val="single"/>
              </w:rPr>
              <w:lastRenderedPageBreak/>
              <w:t>不適足之虞</w:t>
            </w:r>
            <w:r w:rsidRPr="00390130">
              <w:rPr>
                <w:rFonts w:eastAsia="標楷體"/>
                <w:u w:val="single"/>
              </w:rPr>
              <w:t>者</w:t>
            </w:r>
            <w:r w:rsidRPr="00390130">
              <w:rPr>
                <w:rFonts w:eastAsia="標楷體"/>
              </w:rPr>
              <w:t>，簽證精算人員應說明其停售原因，並分析對公司財務之影響。</w:t>
            </w:r>
          </w:p>
        </w:tc>
        <w:tc>
          <w:tcPr>
            <w:tcW w:w="3628" w:type="dxa"/>
          </w:tcPr>
          <w:p w:rsidR="00EE5689" w:rsidRPr="00390130" w:rsidRDefault="00EE5689" w:rsidP="00390130">
            <w:pPr>
              <w:kinsoku w:val="0"/>
              <w:overflowPunct w:val="0"/>
              <w:spacing w:line="440" w:lineRule="exact"/>
              <w:ind w:left="960" w:hangingChars="400" w:hanging="960"/>
              <w:jc w:val="both"/>
              <w:textAlignment w:val="center"/>
              <w:rPr>
                <w:rFonts w:eastAsia="標楷體"/>
              </w:rPr>
            </w:pPr>
            <w:r w:rsidRPr="00390130">
              <w:rPr>
                <w:rFonts w:eastAsia="標楷體"/>
              </w:rPr>
              <w:lastRenderedPageBreak/>
              <w:t>二十九、納入保險費率釐訂檢視之商品應包括：</w:t>
            </w: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一</w:t>
            </w:r>
            <w:r>
              <w:rPr>
                <w:rFonts w:eastAsia="標楷體" w:hint="eastAsia"/>
              </w:rPr>
              <w:t>)</w:t>
            </w:r>
            <w:r w:rsidR="00EE5689" w:rsidRPr="00390130">
              <w:rPr>
                <w:rFonts w:eastAsia="標楷體"/>
              </w:rPr>
              <w:t>當年度新契約年繳化保費收入最高前</w:t>
            </w:r>
            <w:r w:rsidR="00EE5689" w:rsidRPr="00390130">
              <w:rPr>
                <w:rFonts w:eastAsia="標楷體"/>
              </w:rPr>
              <w:lastRenderedPageBreak/>
              <w:t>十名</w:t>
            </w:r>
            <w:r>
              <w:rPr>
                <w:rFonts w:eastAsia="標楷體" w:hint="eastAsia"/>
              </w:rPr>
              <w:t>(</w:t>
            </w:r>
            <w:r w:rsidR="00EE5689" w:rsidRPr="00390130">
              <w:rPr>
                <w:rFonts w:eastAsia="標楷體"/>
              </w:rPr>
              <w:t>不含投資型保險商品</w:t>
            </w:r>
            <w:r>
              <w:rPr>
                <w:rFonts w:eastAsia="標楷體" w:hint="eastAsia"/>
              </w:rPr>
              <w:t>)</w:t>
            </w:r>
            <w:r w:rsidR="00EE5689" w:rsidRPr="00390130">
              <w:rPr>
                <w:rFonts w:eastAsia="標楷體"/>
              </w:rPr>
              <w:t>或累積占率達百分之九十之</w:t>
            </w:r>
            <w:r w:rsidR="00EE5689" w:rsidRPr="00236035">
              <w:rPr>
                <w:rFonts w:eastAsia="標楷體"/>
              </w:rPr>
              <w:t>商品</w:t>
            </w:r>
            <w:r w:rsidR="00EE5689" w:rsidRPr="00390130">
              <w:rPr>
                <w:rFonts w:eastAsia="標楷體"/>
                <w:u w:val="single"/>
              </w:rPr>
              <w:t>，如有長年期健康保險或有費率不適足之虞且影響重大之商品者應優先檢視</w:t>
            </w:r>
            <w:r w:rsidR="00EE5689" w:rsidRPr="00390130">
              <w:rPr>
                <w:rFonts w:eastAsia="標楷體"/>
              </w:rPr>
              <w:t>。</w:t>
            </w: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二</w:t>
            </w:r>
            <w:r>
              <w:rPr>
                <w:rFonts w:eastAsia="標楷體" w:hint="eastAsia"/>
              </w:rPr>
              <w:t>)</w:t>
            </w:r>
            <w:r w:rsidR="00EE5689" w:rsidRPr="00390130">
              <w:rPr>
                <w:rFonts w:eastAsia="標楷體"/>
              </w:rPr>
              <w:t>有費率不適足之虞且影響重大之可調整紅利揭露值的商品。</w:t>
            </w:r>
          </w:p>
          <w:p w:rsidR="00EE5689" w:rsidRPr="00390130" w:rsidRDefault="00940BD3" w:rsidP="00940BD3">
            <w:pPr>
              <w:kinsoku w:val="0"/>
              <w:overflowPunct w:val="0"/>
              <w:spacing w:line="440" w:lineRule="exact"/>
              <w:ind w:leftChars="399" w:left="1443" w:hangingChars="202" w:hanging="485"/>
              <w:jc w:val="both"/>
              <w:textAlignment w:val="center"/>
              <w:rPr>
                <w:rFonts w:eastAsia="標楷體"/>
              </w:rPr>
            </w:pPr>
            <w:r>
              <w:rPr>
                <w:rFonts w:eastAsia="標楷體" w:hint="eastAsia"/>
              </w:rPr>
              <w:t>(</w:t>
            </w:r>
            <w:r w:rsidR="00EE5689" w:rsidRPr="00390130">
              <w:rPr>
                <w:rFonts w:eastAsia="標楷體"/>
              </w:rPr>
              <w:t>三</w:t>
            </w:r>
            <w:r>
              <w:rPr>
                <w:rFonts w:eastAsia="標楷體" w:hint="eastAsia"/>
              </w:rPr>
              <w:t>)</w:t>
            </w:r>
            <w:r w:rsidR="00EE5689" w:rsidRPr="00390130">
              <w:rPr>
                <w:rFonts w:eastAsia="標楷體"/>
              </w:rPr>
              <w:t>有費率不適足之虞且影響重大之可調整保費的有效契約商品。</w:t>
            </w:r>
          </w:p>
          <w:p w:rsidR="00FD7010" w:rsidRPr="00390130" w:rsidRDefault="00FD7010" w:rsidP="00390130">
            <w:pPr>
              <w:kinsoku w:val="0"/>
              <w:overflowPunct w:val="0"/>
              <w:spacing w:line="440" w:lineRule="exact"/>
              <w:ind w:leftChars="400" w:left="960"/>
              <w:jc w:val="both"/>
              <w:textAlignment w:val="center"/>
              <w:rPr>
                <w:rFonts w:eastAsia="標楷體"/>
                <w:u w:val="single"/>
              </w:rPr>
            </w:pPr>
          </w:p>
          <w:p w:rsidR="00FD7010" w:rsidRPr="00390130" w:rsidRDefault="00FD7010" w:rsidP="00390130">
            <w:pPr>
              <w:kinsoku w:val="0"/>
              <w:overflowPunct w:val="0"/>
              <w:spacing w:line="440" w:lineRule="exact"/>
              <w:ind w:leftChars="400" w:left="960"/>
              <w:jc w:val="both"/>
              <w:textAlignment w:val="center"/>
              <w:rPr>
                <w:rFonts w:eastAsia="標楷體"/>
                <w:u w:val="single"/>
              </w:rPr>
            </w:pPr>
          </w:p>
          <w:p w:rsidR="00FD7010" w:rsidRPr="00390130" w:rsidRDefault="00FD7010" w:rsidP="00390130">
            <w:pPr>
              <w:kinsoku w:val="0"/>
              <w:overflowPunct w:val="0"/>
              <w:spacing w:line="440" w:lineRule="exact"/>
              <w:ind w:leftChars="400" w:left="960"/>
              <w:jc w:val="both"/>
              <w:textAlignment w:val="center"/>
              <w:rPr>
                <w:rFonts w:eastAsia="標楷體"/>
                <w:u w:val="single"/>
              </w:rPr>
            </w:pPr>
          </w:p>
          <w:p w:rsidR="00FD7010" w:rsidRPr="00390130" w:rsidRDefault="00FD7010" w:rsidP="00390130">
            <w:pPr>
              <w:kinsoku w:val="0"/>
              <w:overflowPunct w:val="0"/>
              <w:spacing w:line="440" w:lineRule="exact"/>
              <w:ind w:leftChars="400" w:left="960"/>
              <w:jc w:val="both"/>
              <w:textAlignment w:val="center"/>
              <w:rPr>
                <w:rFonts w:eastAsia="標楷體"/>
                <w:u w:val="single"/>
              </w:rPr>
            </w:pPr>
          </w:p>
          <w:p w:rsidR="00FD7010" w:rsidRPr="00390130" w:rsidRDefault="00FD7010" w:rsidP="00390130">
            <w:pPr>
              <w:kinsoku w:val="0"/>
              <w:overflowPunct w:val="0"/>
              <w:spacing w:line="440" w:lineRule="exact"/>
              <w:ind w:leftChars="400" w:left="960"/>
              <w:jc w:val="both"/>
              <w:textAlignment w:val="center"/>
              <w:rPr>
                <w:rFonts w:eastAsia="標楷體"/>
                <w:u w:val="single"/>
              </w:rPr>
            </w:pPr>
          </w:p>
          <w:p w:rsidR="00FD7010" w:rsidRPr="00390130" w:rsidRDefault="00FD7010" w:rsidP="00390130">
            <w:pPr>
              <w:kinsoku w:val="0"/>
              <w:overflowPunct w:val="0"/>
              <w:spacing w:line="440" w:lineRule="exact"/>
              <w:ind w:leftChars="400" w:left="960"/>
              <w:jc w:val="both"/>
              <w:textAlignment w:val="center"/>
              <w:rPr>
                <w:rFonts w:eastAsia="標楷體"/>
                <w:u w:val="single"/>
              </w:rPr>
            </w:pPr>
          </w:p>
          <w:p w:rsidR="00EE5689" w:rsidRPr="00390130" w:rsidRDefault="00EE5689" w:rsidP="00390130">
            <w:pPr>
              <w:kinsoku w:val="0"/>
              <w:overflowPunct w:val="0"/>
              <w:spacing w:line="440" w:lineRule="exact"/>
              <w:ind w:leftChars="400" w:left="960"/>
              <w:jc w:val="both"/>
              <w:textAlignment w:val="center"/>
              <w:rPr>
                <w:rFonts w:eastAsia="標楷體"/>
              </w:rPr>
            </w:pPr>
            <w:r w:rsidRPr="00390130">
              <w:rPr>
                <w:rFonts w:eastAsia="標楷體"/>
                <w:u w:val="single"/>
              </w:rPr>
              <w:t>簽證精算人員應提供當年度銷售所有商品之基本資料，並</w:t>
            </w:r>
            <w:r w:rsidRPr="00390130">
              <w:rPr>
                <w:rFonts w:eastAsia="標楷體"/>
              </w:rPr>
              <w:t>提供保險費率釐訂納入測試商品之統計表</w:t>
            </w:r>
            <w:r w:rsidR="0016355E">
              <w:rPr>
                <w:rFonts w:eastAsia="標楷體" w:hint="eastAsia"/>
              </w:rPr>
              <w:t>(</w:t>
            </w:r>
            <w:r w:rsidRPr="00390130">
              <w:rPr>
                <w:rFonts w:eastAsia="標楷體"/>
              </w:rPr>
              <w:t>詳指定附表</w:t>
            </w:r>
            <w:r w:rsidRPr="00390130">
              <w:rPr>
                <w:rFonts w:eastAsia="標楷體"/>
              </w:rPr>
              <w:t>8</w:t>
            </w:r>
            <w:r w:rsidR="0016355E">
              <w:rPr>
                <w:rFonts w:eastAsia="標楷體"/>
              </w:rPr>
              <w:t>)</w:t>
            </w:r>
            <w:r w:rsidRPr="00390130">
              <w:rPr>
                <w:rFonts w:eastAsia="標楷體"/>
              </w:rPr>
              <w:t>。</w:t>
            </w:r>
          </w:p>
          <w:p w:rsidR="00EE5689" w:rsidRPr="00390130" w:rsidRDefault="00EE5689" w:rsidP="00390130">
            <w:pPr>
              <w:kinsoku w:val="0"/>
              <w:overflowPunct w:val="0"/>
              <w:spacing w:line="440" w:lineRule="exact"/>
              <w:ind w:leftChars="400" w:left="960"/>
              <w:jc w:val="both"/>
              <w:textAlignment w:val="center"/>
              <w:rPr>
                <w:rFonts w:eastAsia="標楷體"/>
              </w:rPr>
            </w:pPr>
            <w:r w:rsidRPr="00390130">
              <w:rPr>
                <w:rFonts w:eastAsia="標楷體"/>
              </w:rPr>
              <w:t>第一項第一款中如已於當年度內</w:t>
            </w:r>
            <w:r w:rsidRPr="00390130">
              <w:rPr>
                <w:rFonts w:eastAsia="標楷體"/>
                <w:u w:val="single"/>
              </w:rPr>
              <w:t>停售者</w:t>
            </w:r>
            <w:r w:rsidRPr="00390130">
              <w:rPr>
                <w:rFonts w:eastAsia="標楷體"/>
              </w:rPr>
              <w:t>，簽證</w:t>
            </w:r>
            <w:r w:rsidRPr="00390130">
              <w:rPr>
                <w:rFonts w:eastAsia="標楷體"/>
              </w:rPr>
              <w:lastRenderedPageBreak/>
              <w:t>精算人員應說明其停售原因，並分析對公司財務之影響</w:t>
            </w:r>
            <w:r w:rsidRPr="00390130">
              <w:rPr>
                <w:rFonts w:eastAsia="標楷體"/>
                <w:u w:val="single"/>
              </w:rPr>
              <w:t>，但因法令變動所致停售者除外</w:t>
            </w:r>
            <w:r w:rsidRPr="00390130">
              <w:rPr>
                <w:rFonts w:eastAsia="標楷體"/>
              </w:rPr>
              <w:t>。</w:t>
            </w:r>
          </w:p>
        </w:tc>
        <w:tc>
          <w:tcPr>
            <w:tcW w:w="2154" w:type="dxa"/>
          </w:tcPr>
          <w:p w:rsidR="00E25E15" w:rsidRPr="00390130" w:rsidRDefault="00E25E15" w:rsidP="004A67A3">
            <w:pPr>
              <w:kinsoku w:val="0"/>
              <w:overflowPunct w:val="0"/>
              <w:spacing w:line="440" w:lineRule="exact"/>
              <w:jc w:val="both"/>
              <w:textAlignment w:val="center"/>
              <w:rPr>
                <w:rFonts w:eastAsia="標楷體"/>
              </w:rPr>
            </w:pPr>
            <w:r w:rsidRPr="00390130">
              <w:rPr>
                <w:rFonts w:eastAsia="標楷體"/>
              </w:rPr>
              <w:lastRenderedPageBreak/>
              <w:t>為簡化簽證作業，縮小納入保險費率釐訂檢視之商品</w:t>
            </w:r>
            <w:r w:rsidR="003B00D4" w:rsidRPr="00390130">
              <w:rPr>
                <w:rFonts w:eastAsia="標楷體"/>
              </w:rPr>
              <w:t>範圍，並刪除「應提</w:t>
            </w:r>
            <w:r w:rsidR="003B00D4" w:rsidRPr="00390130">
              <w:rPr>
                <w:rFonts w:eastAsia="標楷體"/>
              </w:rPr>
              <w:lastRenderedPageBreak/>
              <w:t>供當年度銷售所有商品之基本資料」</w:t>
            </w:r>
            <w:r w:rsidR="00146835">
              <w:rPr>
                <w:rFonts w:eastAsia="標楷體" w:hint="eastAsia"/>
              </w:rPr>
              <w:t>。其中以人民收付之非投資型保險商品應檢視範圍，不受本會</w:t>
            </w:r>
            <w:r w:rsidR="004A67A3">
              <w:rPr>
                <w:rFonts w:eastAsia="標楷體" w:hint="eastAsia"/>
              </w:rPr>
              <w:t>102.12.20</w:t>
            </w:r>
            <w:r w:rsidR="00146835">
              <w:rPr>
                <w:rFonts w:eastAsia="標楷體" w:hint="eastAsia"/>
              </w:rPr>
              <w:t>金管保壽字第</w:t>
            </w:r>
            <w:r w:rsidR="00146835">
              <w:rPr>
                <w:rFonts w:eastAsia="標楷體" w:hint="eastAsia"/>
              </w:rPr>
              <w:t>10202555025</w:t>
            </w:r>
            <w:r w:rsidR="00146835">
              <w:rPr>
                <w:rFonts w:eastAsia="標楷體" w:hint="eastAsia"/>
              </w:rPr>
              <w:t>號函要求以人民收付之非投資型保險商品均應納入簽證報告之保險費率釐訂範圍之</w:t>
            </w:r>
            <w:r w:rsidR="004A67A3">
              <w:rPr>
                <w:rFonts w:eastAsia="標楷體" w:hint="eastAsia"/>
              </w:rPr>
              <w:t>限制</w:t>
            </w:r>
            <w:r w:rsidR="00146835">
              <w:rPr>
                <w:rFonts w:eastAsia="標楷體" w:hint="eastAsia"/>
              </w:rPr>
              <w:t>。</w:t>
            </w:r>
          </w:p>
        </w:tc>
      </w:tr>
      <w:tr w:rsidR="00390130" w:rsidRPr="00390130" w:rsidTr="00390130">
        <w:trPr>
          <w:trHeight w:val="20"/>
        </w:trPr>
        <w:tc>
          <w:tcPr>
            <w:tcW w:w="3628" w:type="dxa"/>
          </w:tcPr>
          <w:p w:rsidR="00FD7010" w:rsidRPr="00390130" w:rsidRDefault="00FD7010" w:rsidP="00390130">
            <w:pPr>
              <w:kinsoku w:val="0"/>
              <w:overflowPunct w:val="0"/>
              <w:spacing w:line="440" w:lineRule="exact"/>
              <w:ind w:left="960" w:hangingChars="400" w:hanging="960"/>
              <w:jc w:val="both"/>
              <w:textAlignment w:val="center"/>
              <w:rPr>
                <w:rFonts w:eastAsia="標楷體"/>
              </w:rPr>
            </w:pPr>
            <w:r w:rsidRPr="00390130">
              <w:rPr>
                <w:rFonts w:eastAsia="標楷體"/>
              </w:rPr>
              <w:lastRenderedPageBreak/>
              <w:t>三十一、簽證精算人員進行保險費率釐訂檢視時，應提供不包含既有資產之新錢投資組合報酬率數值，且提供該數值所隱含之預期資產配置比例及各類資產預期報酬率，並據以說明該數值假設之合理性。</w:t>
            </w:r>
          </w:p>
          <w:p w:rsidR="00FD7010" w:rsidRPr="00390130" w:rsidRDefault="00FD7010" w:rsidP="004A67A3">
            <w:pPr>
              <w:kinsoku w:val="0"/>
              <w:overflowPunct w:val="0"/>
              <w:spacing w:line="440" w:lineRule="exact"/>
              <w:ind w:leftChars="400" w:left="960"/>
              <w:jc w:val="both"/>
              <w:textAlignment w:val="center"/>
              <w:rPr>
                <w:rFonts w:eastAsia="標楷體"/>
              </w:rPr>
            </w:pPr>
            <w:r w:rsidRPr="00390130">
              <w:rPr>
                <w:rFonts w:eastAsia="標楷體"/>
                <w:u w:val="single"/>
              </w:rPr>
              <w:t>對於財務或決策影響重大之商品</w:t>
            </w:r>
            <w:r w:rsidR="004A67A3">
              <w:rPr>
                <w:rFonts w:eastAsia="標楷體" w:hint="eastAsia"/>
                <w:u w:val="single"/>
              </w:rPr>
              <w:t>應提出</w:t>
            </w:r>
            <w:r w:rsidRPr="00390130">
              <w:rPr>
                <w:rFonts w:eastAsia="標楷體"/>
              </w:rPr>
              <w:t>前項預期資產配置比例及各類資產預期報酬率應與商品送審時之資產配置計畫或資產負債管理計畫相關內容進行差異分析。</w:t>
            </w:r>
          </w:p>
        </w:tc>
        <w:tc>
          <w:tcPr>
            <w:tcW w:w="3628" w:type="dxa"/>
          </w:tcPr>
          <w:p w:rsidR="00FD7010" w:rsidRPr="00390130" w:rsidRDefault="00FD7010" w:rsidP="00390130">
            <w:pPr>
              <w:kinsoku w:val="0"/>
              <w:overflowPunct w:val="0"/>
              <w:spacing w:line="440" w:lineRule="exact"/>
              <w:ind w:left="960" w:hangingChars="400" w:hanging="960"/>
              <w:jc w:val="both"/>
              <w:textAlignment w:val="center"/>
              <w:rPr>
                <w:rFonts w:eastAsia="標楷體"/>
              </w:rPr>
            </w:pPr>
            <w:r w:rsidRPr="00390130">
              <w:rPr>
                <w:rFonts w:eastAsia="標楷體"/>
              </w:rPr>
              <w:t>三十一、簽證精算人員進行保險費率釐訂檢視時，應提供不包含既有資產之新錢投資組合報酬率數值，且提供該數值所隱含之預期資產配置比例及各類資產預期報酬率，並據以說明該數值假設之合理性。</w:t>
            </w:r>
          </w:p>
          <w:p w:rsidR="00FD7010" w:rsidRPr="00390130" w:rsidRDefault="00FD7010" w:rsidP="00390130">
            <w:pPr>
              <w:kinsoku w:val="0"/>
              <w:overflowPunct w:val="0"/>
              <w:spacing w:line="440" w:lineRule="exact"/>
              <w:ind w:leftChars="400" w:left="960"/>
              <w:jc w:val="both"/>
              <w:textAlignment w:val="center"/>
              <w:rPr>
                <w:rFonts w:eastAsia="標楷體"/>
              </w:rPr>
            </w:pPr>
            <w:r w:rsidRPr="00390130">
              <w:rPr>
                <w:rFonts w:eastAsia="標楷體"/>
              </w:rPr>
              <w:t>前項預期資產配置比例及各類資產預期報酬率應與商品送審時之資產配置計畫或資產負債管理計畫相關內容進行差異分析。</w:t>
            </w:r>
          </w:p>
        </w:tc>
        <w:tc>
          <w:tcPr>
            <w:tcW w:w="2154" w:type="dxa"/>
          </w:tcPr>
          <w:p w:rsidR="00FD7010" w:rsidRPr="00652CB8" w:rsidRDefault="00E25E15" w:rsidP="00390130">
            <w:pPr>
              <w:kinsoku w:val="0"/>
              <w:overflowPunct w:val="0"/>
              <w:spacing w:line="440" w:lineRule="exact"/>
              <w:jc w:val="both"/>
              <w:textAlignment w:val="center"/>
              <w:rPr>
                <w:rFonts w:eastAsia="標楷體"/>
              </w:rPr>
            </w:pPr>
            <w:r w:rsidRPr="00652CB8">
              <w:rPr>
                <w:rFonts w:eastAsia="標楷體"/>
              </w:rPr>
              <w:t>為</w:t>
            </w:r>
            <w:r w:rsidR="009965F0" w:rsidRPr="00652CB8">
              <w:rPr>
                <w:rFonts w:eastAsia="標楷體"/>
              </w:rPr>
              <w:t>簡化簽證作業，</w:t>
            </w:r>
            <w:r w:rsidR="00652CB8" w:rsidRPr="00652CB8">
              <w:rPr>
                <w:rFonts w:eastAsia="標楷體"/>
              </w:rPr>
              <w:t>僅針對財務或決策影響重大之商品才需與商品送審時之資產配置計畫或資產負債管理計畫相關內容進行差異分析</w:t>
            </w:r>
            <w:r w:rsidRPr="00652CB8">
              <w:rPr>
                <w:rFonts w:eastAsia="標楷體"/>
              </w:rPr>
              <w:t>。</w:t>
            </w:r>
          </w:p>
        </w:tc>
      </w:tr>
      <w:tr w:rsidR="00390130" w:rsidRPr="00390130" w:rsidTr="00390130">
        <w:trPr>
          <w:trHeight w:val="20"/>
        </w:trPr>
        <w:tc>
          <w:tcPr>
            <w:tcW w:w="3628" w:type="dxa"/>
          </w:tcPr>
          <w:p w:rsidR="00436316" w:rsidRDefault="009965F0" w:rsidP="00390130">
            <w:pPr>
              <w:kinsoku w:val="0"/>
              <w:overflowPunct w:val="0"/>
              <w:spacing w:line="440" w:lineRule="exact"/>
              <w:ind w:left="960" w:hangingChars="400" w:hanging="960"/>
              <w:jc w:val="both"/>
              <w:textAlignment w:val="center"/>
              <w:rPr>
                <w:rFonts w:eastAsia="標楷體"/>
              </w:rPr>
            </w:pPr>
            <w:r w:rsidRPr="00390130">
              <w:rPr>
                <w:rFonts w:eastAsia="標楷體"/>
              </w:rPr>
              <w:t>三十二、簽證精算人員應提供保險商品費率適足性之測試結果，且載明與商品送審當時定價標準具一致性之費率適足性判斷標準，並適當表達精算意見。如測試結果顯示費率不足時，應說明其因應方式及具體改善措</w:t>
            </w:r>
            <w:r w:rsidRPr="00390130">
              <w:rPr>
                <w:rFonts w:eastAsia="標楷體"/>
              </w:rPr>
              <w:lastRenderedPageBreak/>
              <w:t>施。</w:t>
            </w:r>
          </w:p>
          <w:p w:rsidR="009965F0" w:rsidRPr="00390130" w:rsidRDefault="009965F0" w:rsidP="00436316">
            <w:pPr>
              <w:kinsoku w:val="0"/>
              <w:overflowPunct w:val="0"/>
              <w:spacing w:line="440" w:lineRule="exact"/>
              <w:ind w:leftChars="400" w:left="960" w:firstLineChars="13" w:firstLine="31"/>
              <w:jc w:val="both"/>
              <w:textAlignment w:val="center"/>
              <w:rPr>
                <w:rFonts w:eastAsia="標楷體"/>
              </w:rPr>
            </w:pPr>
            <w:r w:rsidRPr="00390130">
              <w:rPr>
                <w:rFonts w:eastAsia="標楷體"/>
                <w:u w:val="single"/>
              </w:rPr>
              <w:t>對於財務或決策影響重大之商品</w:t>
            </w:r>
            <w:r w:rsidRPr="00390130">
              <w:rPr>
                <w:rFonts w:eastAsia="標楷體"/>
              </w:rPr>
              <w:t>應提出本期與前期及本期與商品送審當時之各項假設及測試結果差異分析。</w:t>
            </w:r>
          </w:p>
        </w:tc>
        <w:tc>
          <w:tcPr>
            <w:tcW w:w="3628" w:type="dxa"/>
          </w:tcPr>
          <w:p w:rsidR="009965F0" w:rsidRPr="00390130" w:rsidRDefault="009965F0" w:rsidP="00390130">
            <w:pPr>
              <w:kinsoku w:val="0"/>
              <w:overflowPunct w:val="0"/>
              <w:spacing w:line="440" w:lineRule="exact"/>
              <w:ind w:left="960" w:hangingChars="400" w:hanging="960"/>
              <w:jc w:val="both"/>
              <w:textAlignment w:val="center"/>
              <w:rPr>
                <w:rFonts w:eastAsia="標楷體"/>
              </w:rPr>
            </w:pPr>
            <w:r w:rsidRPr="00390130">
              <w:rPr>
                <w:rFonts w:eastAsia="標楷體"/>
              </w:rPr>
              <w:lastRenderedPageBreak/>
              <w:t>三十二、簽證精算人員應提供保險商品費率適足性之測試結果，且載明與商品送審當時定價標準具一致性之費率適足性判斷標準，並適當表達精算意見。如測試結果顯示費率不足時，應說明其因應方式及具體改善措</w:t>
            </w:r>
            <w:r w:rsidRPr="00390130">
              <w:rPr>
                <w:rFonts w:eastAsia="標楷體"/>
              </w:rPr>
              <w:lastRenderedPageBreak/>
              <w:t>施。</w:t>
            </w:r>
            <w:r w:rsidRPr="00390130">
              <w:rPr>
                <w:rFonts w:eastAsia="標楷體"/>
                <w:u w:val="single"/>
              </w:rPr>
              <w:t>其中當年度新契約年繳化保費收入最高前五名商品（不含投資型保險商品）</w:t>
            </w:r>
            <w:r w:rsidRPr="00390130">
              <w:rPr>
                <w:rFonts w:eastAsia="標楷體"/>
              </w:rPr>
              <w:t>應提出本期與前期及本期與商品送審當時之各項假設及測試結果差異分析。</w:t>
            </w:r>
          </w:p>
        </w:tc>
        <w:tc>
          <w:tcPr>
            <w:tcW w:w="2154" w:type="dxa"/>
          </w:tcPr>
          <w:p w:rsidR="009965F0" w:rsidRPr="00390130" w:rsidRDefault="00E25E15" w:rsidP="00652CB8">
            <w:pPr>
              <w:kinsoku w:val="0"/>
              <w:overflowPunct w:val="0"/>
              <w:spacing w:line="440" w:lineRule="exact"/>
              <w:jc w:val="both"/>
              <w:textAlignment w:val="center"/>
              <w:rPr>
                <w:rFonts w:eastAsia="標楷體"/>
              </w:rPr>
            </w:pPr>
            <w:r w:rsidRPr="00390130">
              <w:rPr>
                <w:rFonts w:eastAsia="標楷體"/>
              </w:rPr>
              <w:lastRenderedPageBreak/>
              <w:t>為簡化簽證作業，</w:t>
            </w:r>
            <w:r w:rsidR="00652CB8">
              <w:rPr>
                <w:rFonts w:eastAsia="標楷體" w:hint="eastAsia"/>
              </w:rPr>
              <w:t>僅針</w:t>
            </w:r>
            <w:r w:rsidRPr="00390130">
              <w:rPr>
                <w:rFonts w:eastAsia="標楷體"/>
              </w:rPr>
              <w:t>對財務或決策影響重大之商品</w:t>
            </w:r>
            <w:r w:rsidR="00652CB8">
              <w:rPr>
                <w:rFonts w:eastAsia="標楷體" w:hint="eastAsia"/>
              </w:rPr>
              <w:t>才需</w:t>
            </w:r>
            <w:r w:rsidRPr="00390130">
              <w:rPr>
                <w:rFonts w:eastAsia="標楷體"/>
              </w:rPr>
              <w:t>提出</w:t>
            </w:r>
            <w:r w:rsidR="003B00D4" w:rsidRPr="00390130">
              <w:rPr>
                <w:rFonts w:eastAsia="標楷體"/>
              </w:rPr>
              <w:t>本期與前期及本期與商品送審當時之</w:t>
            </w:r>
            <w:r w:rsidR="00652CB8">
              <w:rPr>
                <w:rFonts w:eastAsia="標楷體" w:hint="eastAsia"/>
              </w:rPr>
              <w:t>各項假設及測試結果</w:t>
            </w:r>
            <w:r w:rsidRPr="00390130">
              <w:rPr>
                <w:rFonts w:eastAsia="標楷體"/>
              </w:rPr>
              <w:t>差異分析。</w:t>
            </w:r>
          </w:p>
        </w:tc>
      </w:tr>
      <w:tr w:rsidR="00390130" w:rsidRPr="00390130" w:rsidTr="00390130">
        <w:trPr>
          <w:trHeight w:val="20"/>
        </w:trPr>
        <w:tc>
          <w:tcPr>
            <w:tcW w:w="3628" w:type="dxa"/>
          </w:tcPr>
          <w:p w:rsidR="009C245C" w:rsidRPr="00390130" w:rsidRDefault="009C245C" w:rsidP="00390130">
            <w:pPr>
              <w:kinsoku w:val="0"/>
              <w:overflowPunct w:val="0"/>
              <w:spacing w:line="420" w:lineRule="exact"/>
              <w:ind w:left="960" w:hangingChars="400" w:hanging="960"/>
              <w:jc w:val="both"/>
              <w:textAlignment w:val="center"/>
              <w:rPr>
                <w:rFonts w:eastAsia="標楷體"/>
              </w:rPr>
            </w:pPr>
            <w:r w:rsidRPr="00390130">
              <w:rPr>
                <w:rFonts w:eastAsia="標楷體"/>
              </w:rPr>
              <w:lastRenderedPageBreak/>
              <w:t>第七章、投資決策評估</w:t>
            </w:r>
          </w:p>
        </w:tc>
        <w:tc>
          <w:tcPr>
            <w:tcW w:w="3628" w:type="dxa"/>
          </w:tcPr>
          <w:p w:rsidR="009C245C" w:rsidRPr="00390130" w:rsidRDefault="009C245C" w:rsidP="00390130">
            <w:pPr>
              <w:kinsoku w:val="0"/>
              <w:overflowPunct w:val="0"/>
              <w:spacing w:line="420" w:lineRule="exact"/>
              <w:ind w:left="960" w:hangingChars="400" w:hanging="960"/>
              <w:jc w:val="both"/>
              <w:textAlignment w:val="center"/>
              <w:rPr>
                <w:rFonts w:eastAsia="標楷體"/>
              </w:rPr>
            </w:pPr>
            <w:r w:rsidRPr="00390130">
              <w:rPr>
                <w:rFonts w:eastAsia="標楷體"/>
              </w:rPr>
              <w:t>第七章、投資決策評估</w:t>
            </w:r>
          </w:p>
        </w:tc>
        <w:tc>
          <w:tcPr>
            <w:tcW w:w="2154" w:type="dxa"/>
            <w:vAlign w:val="center"/>
          </w:tcPr>
          <w:p w:rsidR="009C245C" w:rsidRPr="00390130" w:rsidRDefault="009C245C" w:rsidP="00390130">
            <w:pPr>
              <w:kinsoku w:val="0"/>
              <w:overflowPunct w:val="0"/>
              <w:spacing w:line="440" w:lineRule="exact"/>
              <w:jc w:val="both"/>
              <w:textAlignment w:val="center"/>
              <w:rPr>
                <w:rFonts w:eastAsia="標楷體"/>
              </w:rPr>
            </w:pPr>
          </w:p>
        </w:tc>
      </w:tr>
      <w:tr w:rsidR="00390130" w:rsidRPr="00390130" w:rsidTr="00390130">
        <w:trPr>
          <w:trHeight w:val="20"/>
        </w:trPr>
        <w:tc>
          <w:tcPr>
            <w:tcW w:w="3628" w:type="dxa"/>
          </w:tcPr>
          <w:p w:rsidR="009965F0" w:rsidRPr="00390130" w:rsidRDefault="009965F0" w:rsidP="00390130">
            <w:pPr>
              <w:kinsoku w:val="0"/>
              <w:overflowPunct w:val="0"/>
              <w:spacing w:line="440" w:lineRule="exact"/>
              <w:ind w:left="960" w:hangingChars="400" w:hanging="960"/>
              <w:jc w:val="both"/>
              <w:textAlignment w:val="center"/>
              <w:rPr>
                <w:rFonts w:eastAsia="標楷體"/>
              </w:rPr>
            </w:pPr>
            <w:r w:rsidRPr="00390130">
              <w:rPr>
                <w:rFonts w:eastAsia="標楷體"/>
              </w:rPr>
              <w:t>四十二、簽證精算人員應提供各區隔資產及未區隔資產之資產負債管理計畫</w:t>
            </w:r>
            <w:r w:rsidRPr="00390130">
              <w:rPr>
                <w:rFonts w:eastAsia="標楷體"/>
                <w:u w:val="single"/>
              </w:rPr>
              <w:t>及評估日</w:t>
            </w:r>
            <w:r w:rsidRPr="00390130">
              <w:rPr>
                <w:rFonts w:eastAsia="標楷體"/>
              </w:rPr>
              <w:t>資產與負債有效存續期間評估及資產負債不配合之量化分析。另應提供利率變動型商品於現行目標資產配置及投資決策下之量化評估分析，並就投資決策對其資產與負債之配合及影響提供專業分析及意見。</w:t>
            </w:r>
          </w:p>
          <w:p w:rsidR="009965F0" w:rsidRPr="00390130" w:rsidRDefault="009965F0" w:rsidP="00390130">
            <w:pPr>
              <w:kinsoku w:val="0"/>
              <w:overflowPunct w:val="0"/>
              <w:spacing w:line="440" w:lineRule="exact"/>
              <w:ind w:leftChars="400" w:left="960"/>
              <w:jc w:val="both"/>
              <w:textAlignment w:val="center"/>
              <w:rPr>
                <w:rFonts w:eastAsia="標楷體"/>
              </w:rPr>
            </w:pPr>
            <w:r w:rsidRPr="00390130">
              <w:rPr>
                <w:rFonts w:eastAsia="標楷體"/>
              </w:rPr>
              <w:t>前項各區隔資產之資產負債管理計畫應與商品送審時之資產配置計畫或資產負債管理計畫相關內容進行差異分析。</w:t>
            </w:r>
          </w:p>
          <w:p w:rsidR="00850922" w:rsidRPr="00390130" w:rsidRDefault="009965F0" w:rsidP="001929ED">
            <w:pPr>
              <w:kinsoku w:val="0"/>
              <w:overflowPunct w:val="0"/>
              <w:spacing w:line="440" w:lineRule="exact"/>
              <w:ind w:left="998"/>
              <w:jc w:val="both"/>
              <w:textAlignment w:val="center"/>
              <w:rPr>
                <w:rFonts w:eastAsia="標楷體"/>
              </w:rPr>
            </w:pPr>
            <w:r w:rsidRPr="00390130">
              <w:rPr>
                <w:rFonts w:eastAsia="標楷體"/>
              </w:rPr>
              <w:t>簽證精算人員應考量銷售對象之利率敏感程度</w:t>
            </w:r>
            <w:r w:rsidR="0016355E">
              <w:rPr>
                <w:rFonts w:eastAsia="標楷體" w:hint="eastAsia"/>
              </w:rPr>
              <w:t>(</w:t>
            </w:r>
            <w:r w:rsidR="00885D93" w:rsidRPr="00390130">
              <w:rPr>
                <w:rFonts w:eastAsia="標楷體"/>
                <w:u w:val="single"/>
              </w:rPr>
              <w:t>含利變及傳統型商品</w:t>
            </w:r>
            <w:r w:rsidR="0016355E">
              <w:rPr>
                <w:rFonts w:eastAsia="標楷體" w:hint="eastAsia"/>
                <w:u w:val="single"/>
              </w:rPr>
              <w:t>)</w:t>
            </w:r>
            <w:r w:rsidRPr="00390130">
              <w:rPr>
                <w:rFonts w:eastAsia="標楷體"/>
              </w:rPr>
              <w:t>及特定年度解約之可能</w:t>
            </w:r>
            <w:r w:rsidRPr="00390130">
              <w:rPr>
                <w:rFonts w:eastAsia="標楷體"/>
              </w:rPr>
              <w:lastRenderedPageBreak/>
              <w:t>性</w:t>
            </w:r>
            <w:r w:rsidR="0016355E" w:rsidRPr="0016355E">
              <w:rPr>
                <w:rFonts w:eastAsia="標楷體" w:hint="eastAsia"/>
                <w:u w:val="single"/>
              </w:rPr>
              <w:t>(</w:t>
            </w:r>
            <w:r w:rsidR="00885D93" w:rsidRPr="00390130">
              <w:rPr>
                <w:rFonts w:eastAsia="標楷體"/>
                <w:u w:val="single"/>
              </w:rPr>
              <w:t>依通路、商品設計及銷售行為考量特定年度</w:t>
            </w:r>
            <w:r w:rsidR="0016355E">
              <w:rPr>
                <w:rFonts w:eastAsia="標楷體" w:hint="eastAsia"/>
                <w:u w:val="single"/>
              </w:rPr>
              <w:t>)</w:t>
            </w:r>
            <w:r w:rsidRPr="00390130">
              <w:rPr>
                <w:rFonts w:eastAsia="標楷體"/>
              </w:rPr>
              <w:t>，提出</w:t>
            </w:r>
            <w:r w:rsidR="00885D93" w:rsidRPr="00390130">
              <w:rPr>
                <w:rFonts w:eastAsia="標楷體"/>
                <w:u w:val="single"/>
              </w:rPr>
              <w:t>不同壓力情境下</w:t>
            </w:r>
            <w:r w:rsidRPr="00390130">
              <w:rPr>
                <w:rFonts w:eastAsia="標楷體"/>
              </w:rPr>
              <w:t>利率風險量化分析，且提出現金流量缺口及資產負債存續期間缺口之監控機制。</w:t>
            </w:r>
          </w:p>
        </w:tc>
        <w:tc>
          <w:tcPr>
            <w:tcW w:w="3628" w:type="dxa"/>
          </w:tcPr>
          <w:p w:rsidR="009965F0" w:rsidRPr="00390130" w:rsidRDefault="009965F0" w:rsidP="00390130">
            <w:pPr>
              <w:kinsoku w:val="0"/>
              <w:overflowPunct w:val="0"/>
              <w:spacing w:line="440" w:lineRule="exact"/>
              <w:ind w:left="960" w:hangingChars="400" w:hanging="960"/>
              <w:jc w:val="both"/>
              <w:textAlignment w:val="center"/>
              <w:rPr>
                <w:rFonts w:eastAsia="標楷體"/>
              </w:rPr>
            </w:pPr>
            <w:r w:rsidRPr="00390130">
              <w:rPr>
                <w:rFonts w:eastAsia="標楷體"/>
              </w:rPr>
              <w:lastRenderedPageBreak/>
              <w:t>四十二、簽證精算人員應提供各區隔資產及未區隔資產之資產負債管理計畫</w:t>
            </w:r>
            <w:r w:rsidRPr="00390130">
              <w:rPr>
                <w:rFonts w:eastAsia="標楷體"/>
                <w:u w:val="single"/>
              </w:rPr>
              <w:t>、評估日及未來一年</w:t>
            </w:r>
            <w:r w:rsidRPr="00390130">
              <w:rPr>
                <w:rFonts w:eastAsia="標楷體"/>
              </w:rPr>
              <w:t>資產與負債有效存續期間評估及資產負債不配合之量化分析。另應提供利率變動型商品於現行目標資產配置及投資決策下之量化評估分析，並就投資決策對其資產與負債之配合及影響提供專業分析及意見。</w:t>
            </w:r>
          </w:p>
          <w:p w:rsidR="009965F0" w:rsidRPr="00390130" w:rsidRDefault="009965F0" w:rsidP="00390130">
            <w:pPr>
              <w:kinsoku w:val="0"/>
              <w:overflowPunct w:val="0"/>
              <w:spacing w:line="440" w:lineRule="exact"/>
              <w:ind w:leftChars="400" w:left="960"/>
              <w:jc w:val="both"/>
              <w:textAlignment w:val="center"/>
              <w:rPr>
                <w:rFonts w:eastAsia="標楷體"/>
              </w:rPr>
            </w:pPr>
            <w:r w:rsidRPr="00390130">
              <w:rPr>
                <w:rFonts w:eastAsia="標楷體"/>
              </w:rPr>
              <w:t>前項各區隔資產之資產負債管理計畫應與商品送審時之資產配置計畫或資產負債管理計畫相關內容進行差異分析。</w:t>
            </w:r>
          </w:p>
          <w:p w:rsidR="009C245C" w:rsidRPr="00390130" w:rsidRDefault="009965F0" w:rsidP="00390130">
            <w:pPr>
              <w:kinsoku w:val="0"/>
              <w:overflowPunct w:val="0"/>
              <w:spacing w:line="440" w:lineRule="exact"/>
              <w:ind w:leftChars="400" w:left="960"/>
              <w:jc w:val="both"/>
              <w:textAlignment w:val="center"/>
              <w:rPr>
                <w:rFonts w:eastAsia="標楷體"/>
              </w:rPr>
            </w:pPr>
            <w:r w:rsidRPr="00390130">
              <w:rPr>
                <w:rFonts w:eastAsia="標楷體"/>
              </w:rPr>
              <w:t>簽證精算人員應考量銷售對象之利率敏感程度及特定年度解約之可能性，提出利率風險量化</w:t>
            </w:r>
            <w:r w:rsidRPr="00390130">
              <w:rPr>
                <w:rFonts w:eastAsia="標楷體"/>
              </w:rPr>
              <w:lastRenderedPageBreak/>
              <w:t>分析，且提出現金流量缺口及資產負債存續期間缺口之監控機制。</w:t>
            </w:r>
          </w:p>
        </w:tc>
        <w:tc>
          <w:tcPr>
            <w:tcW w:w="2154" w:type="dxa"/>
          </w:tcPr>
          <w:p w:rsidR="009C245C" w:rsidRPr="00390130" w:rsidRDefault="00885D93" w:rsidP="0016355E">
            <w:pPr>
              <w:kinsoku w:val="0"/>
              <w:overflowPunct w:val="0"/>
              <w:spacing w:line="440" w:lineRule="exact"/>
              <w:ind w:left="144" w:hangingChars="60" w:hanging="144"/>
              <w:jc w:val="both"/>
              <w:textAlignment w:val="center"/>
              <w:rPr>
                <w:rFonts w:eastAsia="標楷體"/>
              </w:rPr>
            </w:pPr>
            <w:r w:rsidRPr="00390130">
              <w:rPr>
                <w:rFonts w:eastAsia="標楷體"/>
              </w:rPr>
              <w:lastRenderedPageBreak/>
              <w:t>1</w:t>
            </w:r>
            <w:r w:rsidR="0016355E">
              <w:rPr>
                <w:rFonts w:eastAsia="標楷體"/>
              </w:rPr>
              <w:t>.</w:t>
            </w:r>
            <w:r w:rsidR="009965F0" w:rsidRPr="00390130">
              <w:rPr>
                <w:rFonts w:eastAsia="標楷體"/>
              </w:rPr>
              <w:t>為簡化簽證作業，刪除</w:t>
            </w:r>
            <w:r w:rsidR="0016355E">
              <w:rPr>
                <w:rFonts w:eastAsia="標楷體" w:hint="eastAsia"/>
              </w:rPr>
              <w:t>第一項</w:t>
            </w:r>
            <w:r w:rsidR="009965F0" w:rsidRPr="00390130">
              <w:rPr>
                <w:rFonts w:eastAsia="標楷體"/>
              </w:rPr>
              <w:t>未來一年資產與負債有效存續期間評估</w:t>
            </w:r>
            <w:r w:rsidR="003B00D4" w:rsidRPr="00390130">
              <w:rPr>
                <w:rFonts w:eastAsia="標楷體"/>
              </w:rPr>
              <w:t>及資產負債不配合之量化分析。</w:t>
            </w:r>
          </w:p>
          <w:p w:rsidR="00885D93" w:rsidRPr="00390130" w:rsidRDefault="00885D93" w:rsidP="0016355E">
            <w:pPr>
              <w:kinsoku w:val="0"/>
              <w:overflowPunct w:val="0"/>
              <w:spacing w:line="440" w:lineRule="exact"/>
              <w:ind w:left="144" w:hangingChars="60" w:hanging="144"/>
              <w:jc w:val="both"/>
              <w:textAlignment w:val="center"/>
              <w:rPr>
                <w:rFonts w:eastAsia="標楷體"/>
              </w:rPr>
            </w:pPr>
            <w:r w:rsidRPr="00390130">
              <w:rPr>
                <w:rFonts w:eastAsia="標楷體"/>
              </w:rPr>
              <w:t>2</w:t>
            </w:r>
            <w:r w:rsidR="0016355E">
              <w:rPr>
                <w:rFonts w:eastAsia="標楷體"/>
              </w:rPr>
              <w:t>.</w:t>
            </w:r>
            <w:r w:rsidRPr="00390130">
              <w:rPr>
                <w:rFonts w:eastAsia="標楷體"/>
              </w:rPr>
              <w:t>為持續加強利率風險量化分析及監控機制，</w:t>
            </w:r>
            <w:r w:rsidR="0016355E">
              <w:rPr>
                <w:rFonts w:eastAsia="標楷體" w:hint="eastAsia"/>
              </w:rPr>
              <w:t>爰於第二項</w:t>
            </w:r>
            <w:r w:rsidRPr="00390130">
              <w:rPr>
                <w:rFonts w:eastAsia="標楷體"/>
              </w:rPr>
              <w:t>增列相關說明。</w:t>
            </w:r>
          </w:p>
        </w:tc>
      </w:tr>
      <w:tr w:rsidR="00390130" w:rsidRPr="00390130" w:rsidTr="00390130">
        <w:trPr>
          <w:trHeight w:val="20"/>
        </w:trPr>
        <w:tc>
          <w:tcPr>
            <w:tcW w:w="3628" w:type="dxa"/>
          </w:tcPr>
          <w:p w:rsidR="00504DD8" w:rsidRPr="00390130" w:rsidRDefault="00504DD8" w:rsidP="00390130">
            <w:pPr>
              <w:kinsoku w:val="0"/>
              <w:overflowPunct w:val="0"/>
              <w:spacing w:line="420" w:lineRule="exact"/>
              <w:ind w:left="960" w:hangingChars="400" w:hanging="960"/>
              <w:jc w:val="both"/>
              <w:textAlignment w:val="center"/>
              <w:rPr>
                <w:rFonts w:eastAsia="標楷體"/>
              </w:rPr>
            </w:pPr>
            <w:r w:rsidRPr="00390130">
              <w:rPr>
                <w:rFonts w:eastAsia="標楷體"/>
              </w:rPr>
              <w:lastRenderedPageBreak/>
              <w:t>第八章、清償能力評估</w:t>
            </w:r>
          </w:p>
        </w:tc>
        <w:tc>
          <w:tcPr>
            <w:tcW w:w="3628" w:type="dxa"/>
          </w:tcPr>
          <w:p w:rsidR="00504DD8" w:rsidRPr="00390130" w:rsidRDefault="00504DD8" w:rsidP="00390130">
            <w:pPr>
              <w:kinsoku w:val="0"/>
              <w:overflowPunct w:val="0"/>
              <w:spacing w:line="420" w:lineRule="exact"/>
              <w:ind w:left="960" w:hangingChars="400" w:hanging="960"/>
              <w:jc w:val="both"/>
              <w:textAlignment w:val="center"/>
              <w:rPr>
                <w:rFonts w:eastAsia="標楷體"/>
              </w:rPr>
            </w:pPr>
            <w:r w:rsidRPr="00390130">
              <w:rPr>
                <w:rFonts w:eastAsia="標楷體"/>
              </w:rPr>
              <w:t>第八章、清償能力評估</w:t>
            </w:r>
          </w:p>
        </w:tc>
        <w:tc>
          <w:tcPr>
            <w:tcW w:w="2154" w:type="dxa"/>
          </w:tcPr>
          <w:p w:rsidR="00504DD8" w:rsidRPr="00390130" w:rsidRDefault="00504DD8" w:rsidP="00390130">
            <w:pPr>
              <w:kinsoku w:val="0"/>
              <w:overflowPunct w:val="0"/>
              <w:spacing w:line="440" w:lineRule="exact"/>
              <w:jc w:val="both"/>
              <w:textAlignment w:val="center"/>
              <w:rPr>
                <w:rFonts w:eastAsia="標楷體"/>
              </w:rPr>
            </w:pPr>
          </w:p>
        </w:tc>
      </w:tr>
      <w:tr w:rsidR="00390130" w:rsidRPr="004C0F7C" w:rsidTr="00390130">
        <w:trPr>
          <w:trHeight w:val="20"/>
        </w:trPr>
        <w:tc>
          <w:tcPr>
            <w:tcW w:w="3628" w:type="dxa"/>
          </w:tcPr>
          <w:p w:rsidR="00504DD8" w:rsidRPr="00390130" w:rsidRDefault="00504DD8" w:rsidP="00390130">
            <w:pPr>
              <w:kinsoku w:val="0"/>
              <w:overflowPunct w:val="0"/>
              <w:spacing w:line="440" w:lineRule="exact"/>
              <w:ind w:left="960" w:hangingChars="400" w:hanging="960"/>
              <w:jc w:val="both"/>
              <w:textAlignment w:val="center"/>
              <w:rPr>
                <w:rFonts w:eastAsia="標楷體"/>
                <w:u w:val="single"/>
              </w:rPr>
            </w:pPr>
            <w:r w:rsidRPr="00390130">
              <w:rPr>
                <w:rFonts w:eastAsia="標楷體"/>
                <w:u w:val="single"/>
              </w:rPr>
              <w:t>（刪除）</w:t>
            </w:r>
          </w:p>
        </w:tc>
        <w:tc>
          <w:tcPr>
            <w:tcW w:w="3628" w:type="dxa"/>
          </w:tcPr>
          <w:p w:rsidR="00504DD8" w:rsidRPr="00390130" w:rsidRDefault="00504DD8" w:rsidP="00390130">
            <w:pPr>
              <w:kinsoku w:val="0"/>
              <w:overflowPunct w:val="0"/>
              <w:spacing w:line="440" w:lineRule="exact"/>
              <w:ind w:left="960" w:hangingChars="400" w:hanging="960"/>
              <w:jc w:val="both"/>
              <w:textAlignment w:val="center"/>
              <w:rPr>
                <w:rFonts w:eastAsia="標楷體"/>
                <w:u w:val="single"/>
              </w:rPr>
            </w:pPr>
            <w:r w:rsidRPr="00390130">
              <w:rPr>
                <w:rFonts w:eastAsia="標楷體"/>
                <w:u w:val="single"/>
              </w:rPr>
              <w:t>四十五、簽證年度底之資本適足率檢視，除了需檢視依現行公式計算之資本適足率外，應額外計算公司所銷售萬能人壽保險及利率變動型年金保險商品之有效契約若分別依</w:t>
            </w:r>
            <w:r w:rsidRPr="00390130">
              <w:rPr>
                <w:rFonts w:eastAsia="標楷體"/>
                <w:u w:val="single"/>
              </w:rPr>
              <w:t>98</w:t>
            </w:r>
            <w:r w:rsidRPr="00390130">
              <w:rPr>
                <w:rFonts w:eastAsia="標楷體"/>
                <w:u w:val="single"/>
              </w:rPr>
              <w:t>年</w:t>
            </w:r>
            <w:r w:rsidRPr="00390130">
              <w:rPr>
                <w:rFonts w:eastAsia="標楷體"/>
                <w:u w:val="single"/>
              </w:rPr>
              <w:t>11</w:t>
            </w:r>
            <w:r w:rsidRPr="00390130">
              <w:rPr>
                <w:rFonts w:eastAsia="標楷體"/>
                <w:u w:val="single"/>
              </w:rPr>
              <w:t>月</w:t>
            </w:r>
            <w:r w:rsidRPr="00390130">
              <w:rPr>
                <w:rFonts w:eastAsia="標楷體"/>
                <w:u w:val="single"/>
              </w:rPr>
              <w:t>16</w:t>
            </w:r>
            <w:r w:rsidRPr="00390130">
              <w:rPr>
                <w:rFonts w:eastAsia="標楷體"/>
                <w:u w:val="single"/>
              </w:rPr>
              <w:t>日金管保財字第</w:t>
            </w:r>
            <w:r w:rsidRPr="00390130">
              <w:rPr>
                <w:rFonts w:eastAsia="標楷體"/>
                <w:u w:val="single"/>
              </w:rPr>
              <w:t>09802510731</w:t>
            </w:r>
            <w:r w:rsidRPr="00390130">
              <w:rPr>
                <w:rFonts w:eastAsia="標楷體"/>
                <w:u w:val="single"/>
              </w:rPr>
              <w:t>號令發布之「人身保險業就其經營萬能保險業務應提存之各種準備金規範」及</w:t>
            </w:r>
            <w:r w:rsidRPr="00390130">
              <w:rPr>
                <w:rFonts w:eastAsia="標楷體"/>
                <w:u w:val="single"/>
              </w:rPr>
              <w:t>98</w:t>
            </w:r>
            <w:r w:rsidRPr="00390130">
              <w:rPr>
                <w:rFonts w:eastAsia="標楷體"/>
                <w:u w:val="single"/>
              </w:rPr>
              <w:t>年</w:t>
            </w:r>
            <w:r w:rsidRPr="00390130">
              <w:rPr>
                <w:rFonts w:eastAsia="標楷體"/>
                <w:u w:val="single"/>
              </w:rPr>
              <w:t>11</w:t>
            </w:r>
            <w:r w:rsidRPr="00390130">
              <w:rPr>
                <w:rFonts w:eastAsia="標楷體"/>
                <w:u w:val="single"/>
              </w:rPr>
              <w:t>月</w:t>
            </w:r>
            <w:r w:rsidRPr="00390130">
              <w:rPr>
                <w:rFonts w:eastAsia="標楷體"/>
                <w:u w:val="single"/>
              </w:rPr>
              <w:t>16</w:t>
            </w:r>
            <w:r w:rsidRPr="00390130">
              <w:rPr>
                <w:rFonts w:eastAsia="標楷體"/>
                <w:u w:val="single"/>
              </w:rPr>
              <w:t>日金管保財字第</w:t>
            </w:r>
            <w:r w:rsidRPr="00390130">
              <w:rPr>
                <w:rFonts w:eastAsia="標楷體"/>
                <w:u w:val="single"/>
              </w:rPr>
              <w:t>09802510721</w:t>
            </w:r>
            <w:r w:rsidRPr="00390130">
              <w:rPr>
                <w:rFonts w:eastAsia="標楷體"/>
                <w:u w:val="single"/>
              </w:rPr>
              <w:t>號令修正發布之「利率變動型年金保險費率相關規範」第</w:t>
            </w:r>
            <w:r w:rsidRPr="00390130">
              <w:rPr>
                <w:rFonts w:eastAsia="標楷體"/>
                <w:u w:val="single"/>
              </w:rPr>
              <w:t>6</w:t>
            </w:r>
            <w:r w:rsidRPr="00390130">
              <w:rPr>
                <w:rFonts w:eastAsia="標楷體"/>
                <w:u w:val="single"/>
              </w:rPr>
              <w:t>點規定計算之責任準備金增提數</w:t>
            </w:r>
            <w:r w:rsidRPr="00390130">
              <w:rPr>
                <w:rFonts w:eastAsia="標楷體"/>
                <w:u w:val="single"/>
              </w:rPr>
              <w:t>(X)</w:t>
            </w:r>
            <w:r w:rsidRPr="00390130">
              <w:rPr>
                <w:rFonts w:eastAsia="標楷體"/>
                <w:u w:val="single"/>
              </w:rPr>
              <w:t>，並依利率風險</w:t>
            </w:r>
            <w:r w:rsidR="00FA0573">
              <w:rPr>
                <w:rFonts w:eastAsia="標楷體" w:hint="eastAsia"/>
                <w:u w:val="single"/>
              </w:rPr>
              <w:t>(</w:t>
            </w:r>
            <w:r w:rsidRPr="00390130">
              <w:rPr>
                <w:rFonts w:eastAsia="標楷體"/>
                <w:u w:val="single"/>
              </w:rPr>
              <w:t>即</w:t>
            </w:r>
            <w:r w:rsidRPr="00390130">
              <w:rPr>
                <w:rFonts w:eastAsia="標楷體"/>
                <w:u w:val="single"/>
              </w:rPr>
              <w:t>C3</w:t>
            </w:r>
            <w:r w:rsidRPr="00390130">
              <w:rPr>
                <w:rFonts w:eastAsia="標楷體"/>
                <w:u w:val="single"/>
              </w:rPr>
              <w:t>風險</w:t>
            </w:r>
            <w:r w:rsidR="00FA0573">
              <w:rPr>
                <w:rFonts w:eastAsia="標楷體" w:hint="eastAsia"/>
                <w:u w:val="single"/>
              </w:rPr>
              <w:t>)</w:t>
            </w:r>
            <w:r w:rsidRPr="00390130">
              <w:rPr>
                <w:rFonts w:eastAsia="標楷體"/>
                <w:u w:val="single"/>
              </w:rPr>
              <w:t>值中額外納入</w:t>
            </w:r>
            <w:r w:rsidRPr="00390130">
              <w:rPr>
                <w:rFonts w:eastAsia="標楷體"/>
                <w:u w:val="single"/>
              </w:rPr>
              <w:t>X</w:t>
            </w:r>
            <w:r w:rsidRPr="00390130">
              <w:rPr>
                <w:rFonts w:eastAsia="標楷體"/>
                <w:u w:val="single"/>
              </w:rPr>
              <w:t>調整後公式計算簽證</w:t>
            </w:r>
            <w:r w:rsidRPr="00390130">
              <w:rPr>
                <w:rFonts w:eastAsia="標楷體"/>
                <w:u w:val="single"/>
              </w:rPr>
              <w:lastRenderedPageBreak/>
              <w:t>年度底之資本適足率</w:t>
            </w:r>
            <w:r w:rsidR="00FA0573">
              <w:rPr>
                <w:rFonts w:eastAsia="標楷體" w:hint="eastAsia"/>
                <w:u w:val="single"/>
              </w:rPr>
              <w:t>(</w:t>
            </w:r>
            <w:r w:rsidRPr="00390130">
              <w:rPr>
                <w:rFonts w:eastAsia="標楷體"/>
                <w:u w:val="single"/>
              </w:rPr>
              <w:t>詳指定附表</w:t>
            </w:r>
            <w:r w:rsidRPr="00390130">
              <w:rPr>
                <w:rFonts w:eastAsia="標楷體"/>
                <w:u w:val="single"/>
              </w:rPr>
              <w:t>10-2</w:t>
            </w:r>
            <w:r w:rsidR="00FA0573">
              <w:rPr>
                <w:rFonts w:eastAsia="標楷體" w:hint="eastAsia"/>
                <w:u w:val="single"/>
              </w:rPr>
              <w:t>)</w:t>
            </w:r>
            <w:r w:rsidRPr="00390130">
              <w:rPr>
                <w:rFonts w:eastAsia="標楷體"/>
                <w:u w:val="single"/>
              </w:rPr>
              <w:t>。</w:t>
            </w:r>
          </w:p>
          <w:p w:rsidR="00504DD8" w:rsidRPr="00390130" w:rsidRDefault="00504DD8" w:rsidP="00390130">
            <w:pPr>
              <w:kinsoku w:val="0"/>
              <w:overflowPunct w:val="0"/>
              <w:spacing w:line="440" w:lineRule="exact"/>
              <w:ind w:leftChars="400" w:left="960"/>
              <w:jc w:val="both"/>
              <w:textAlignment w:val="center"/>
              <w:rPr>
                <w:rFonts w:eastAsia="標楷體"/>
              </w:rPr>
            </w:pPr>
            <w:r w:rsidRPr="00390130">
              <w:rPr>
                <w:rFonts w:eastAsia="標楷體"/>
                <w:u w:val="single"/>
              </w:rPr>
              <w:t>簽證精算人員應說明計算前項</w:t>
            </w:r>
            <w:r w:rsidRPr="00390130">
              <w:rPr>
                <w:rFonts w:eastAsia="標楷體"/>
                <w:u w:val="single"/>
              </w:rPr>
              <w:t>X</w:t>
            </w:r>
            <w:r w:rsidRPr="00390130">
              <w:rPr>
                <w:rFonts w:eastAsia="標楷體"/>
                <w:u w:val="single"/>
              </w:rPr>
              <w:t>所採用之預定宣告利率及折現率等相關假設。</w:t>
            </w:r>
          </w:p>
        </w:tc>
        <w:tc>
          <w:tcPr>
            <w:tcW w:w="2154" w:type="dxa"/>
          </w:tcPr>
          <w:p w:rsidR="00504DD8" w:rsidRPr="004C0F7C" w:rsidRDefault="004C0F7C" w:rsidP="00390130">
            <w:pPr>
              <w:kinsoku w:val="0"/>
              <w:overflowPunct w:val="0"/>
              <w:spacing w:line="440" w:lineRule="exact"/>
              <w:jc w:val="both"/>
              <w:textAlignment w:val="center"/>
              <w:rPr>
                <w:rFonts w:eastAsia="標楷體"/>
              </w:rPr>
            </w:pPr>
            <w:r w:rsidRPr="004C0F7C">
              <w:rPr>
                <w:rFonts w:eastAsia="標楷體"/>
              </w:rPr>
              <w:lastRenderedPageBreak/>
              <w:t>考量已銷售之利率變動型年金保險及萬能保險有效契約依本會</w:t>
            </w:r>
            <w:r w:rsidRPr="004C0F7C">
              <w:rPr>
                <w:rFonts w:eastAsia="標楷體"/>
              </w:rPr>
              <w:t>98</w:t>
            </w:r>
            <w:r w:rsidRPr="004C0F7C">
              <w:rPr>
                <w:rFonts w:eastAsia="標楷體"/>
              </w:rPr>
              <w:t>年</w:t>
            </w:r>
            <w:r w:rsidRPr="004C0F7C">
              <w:rPr>
                <w:rFonts w:eastAsia="標楷體"/>
              </w:rPr>
              <w:t>11</w:t>
            </w:r>
            <w:r w:rsidRPr="004C0F7C">
              <w:rPr>
                <w:rFonts w:eastAsia="標楷體"/>
              </w:rPr>
              <w:t>月</w:t>
            </w:r>
            <w:r w:rsidRPr="004C0F7C">
              <w:rPr>
                <w:rFonts w:eastAsia="標楷體"/>
              </w:rPr>
              <w:t>16</w:t>
            </w:r>
            <w:r w:rsidRPr="004C0F7C">
              <w:rPr>
                <w:rFonts w:eastAsia="標楷體"/>
              </w:rPr>
              <w:t>日發布「人身保險業就其經營萬能保險業務應提存之各種準備金規範」及「利率變動型年金保險費率相關規範」計算之增提數</w:t>
            </w:r>
            <w:r w:rsidRPr="004C0F7C">
              <w:rPr>
                <w:rFonts w:eastAsia="標楷體"/>
              </w:rPr>
              <w:t>(X</w:t>
            </w:r>
            <w:r w:rsidRPr="004C0F7C">
              <w:rPr>
                <w:rFonts w:eastAsia="標楷體"/>
              </w:rPr>
              <w:t>值</w:t>
            </w:r>
            <w:r w:rsidRPr="004C0F7C">
              <w:rPr>
                <w:rFonts w:eastAsia="標楷體"/>
              </w:rPr>
              <w:t>)</w:t>
            </w:r>
            <w:r w:rsidRPr="004C0F7C">
              <w:rPr>
                <w:rFonts w:eastAsia="標楷體"/>
              </w:rPr>
              <w:t>對簽證年度底之資本適足率影響甚微，爰刪除本點。</w:t>
            </w:r>
          </w:p>
        </w:tc>
      </w:tr>
      <w:tr w:rsidR="00390130" w:rsidRPr="00390130" w:rsidTr="00390130">
        <w:trPr>
          <w:trHeight w:val="20"/>
        </w:trPr>
        <w:tc>
          <w:tcPr>
            <w:tcW w:w="3628" w:type="dxa"/>
          </w:tcPr>
          <w:p w:rsidR="00504DD8" w:rsidRPr="00390130" w:rsidRDefault="00504DD8" w:rsidP="00390130">
            <w:pPr>
              <w:kinsoku w:val="0"/>
              <w:overflowPunct w:val="0"/>
              <w:spacing w:line="420" w:lineRule="exact"/>
              <w:ind w:left="960" w:hangingChars="400" w:hanging="960"/>
              <w:jc w:val="both"/>
              <w:textAlignment w:val="center"/>
              <w:rPr>
                <w:rFonts w:eastAsia="標楷體"/>
              </w:rPr>
            </w:pPr>
            <w:r w:rsidRPr="00390130">
              <w:rPr>
                <w:rFonts w:eastAsia="標楷體"/>
              </w:rPr>
              <w:lastRenderedPageBreak/>
              <w:t>第九章、特定商品之準備金適足性測試</w:t>
            </w:r>
          </w:p>
        </w:tc>
        <w:tc>
          <w:tcPr>
            <w:tcW w:w="3628" w:type="dxa"/>
          </w:tcPr>
          <w:p w:rsidR="00504DD8" w:rsidRPr="00390130" w:rsidRDefault="00504DD8" w:rsidP="00390130">
            <w:pPr>
              <w:kinsoku w:val="0"/>
              <w:overflowPunct w:val="0"/>
              <w:spacing w:line="420" w:lineRule="exact"/>
              <w:ind w:left="960" w:hangingChars="400" w:hanging="960"/>
              <w:jc w:val="both"/>
              <w:textAlignment w:val="center"/>
              <w:rPr>
                <w:rFonts w:eastAsia="標楷體"/>
              </w:rPr>
            </w:pPr>
            <w:r w:rsidRPr="00390130">
              <w:rPr>
                <w:rFonts w:eastAsia="標楷體"/>
              </w:rPr>
              <w:t>第九章、特定商品之準備金適足性測試</w:t>
            </w:r>
          </w:p>
        </w:tc>
        <w:tc>
          <w:tcPr>
            <w:tcW w:w="2154" w:type="dxa"/>
          </w:tcPr>
          <w:p w:rsidR="00504DD8" w:rsidRPr="00390130" w:rsidRDefault="00504DD8" w:rsidP="00390130">
            <w:pPr>
              <w:kinsoku w:val="0"/>
              <w:overflowPunct w:val="0"/>
              <w:spacing w:line="440" w:lineRule="exact"/>
              <w:jc w:val="both"/>
              <w:textAlignment w:val="center"/>
              <w:rPr>
                <w:rFonts w:eastAsia="標楷體"/>
              </w:rPr>
            </w:pPr>
          </w:p>
        </w:tc>
      </w:tr>
      <w:tr w:rsidR="00390130" w:rsidRPr="00390130" w:rsidTr="00390130">
        <w:trPr>
          <w:trHeight w:val="20"/>
        </w:trPr>
        <w:tc>
          <w:tcPr>
            <w:tcW w:w="3628" w:type="dxa"/>
          </w:tcPr>
          <w:p w:rsidR="00504DD8" w:rsidRPr="00390130" w:rsidRDefault="00E25E15" w:rsidP="00FA0573">
            <w:pPr>
              <w:kinsoku w:val="0"/>
              <w:overflowPunct w:val="0"/>
              <w:spacing w:line="420" w:lineRule="exact"/>
              <w:ind w:left="960" w:hangingChars="400" w:hanging="960"/>
              <w:jc w:val="both"/>
              <w:textAlignment w:val="center"/>
              <w:rPr>
                <w:rFonts w:eastAsia="標楷體"/>
              </w:rPr>
            </w:pPr>
            <w:r w:rsidRPr="00390130">
              <w:rPr>
                <w:rFonts w:eastAsia="標楷體"/>
              </w:rPr>
              <w:t>四十七、簽證精算人員應提供特定商品之統計表</w:t>
            </w:r>
            <w:r w:rsidR="00FA0573">
              <w:rPr>
                <w:rFonts w:eastAsia="標楷體" w:hint="eastAsia"/>
              </w:rPr>
              <w:t>(</w:t>
            </w:r>
            <w:r w:rsidRPr="00390130">
              <w:rPr>
                <w:rFonts w:eastAsia="標楷體"/>
              </w:rPr>
              <w:t>詳指定附表</w:t>
            </w:r>
            <w:r w:rsidRPr="00390130">
              <w:rPr>
                <w:rFonts w:eastAsia="標楷體"/>
              </w:rPr>
              <w:t>11</w:t>
            </w:r>
            <w:r w:rsidR="00FA0573">
              <w:rPr>
                <w:rFonts w:eastAsia="標楷體" w:hint="eastAsia"/>
              </w:rPr>
              <w:t>)</w:t>
            </w:r>
            <w:r w:rsidRPr="00390130">
              <w:rPr>
                <w:rFonts w:eastAsia="標楷體"/>
              </w:rPr>
              <w:t>。</w:t>
            </w:r>
          </w:p>
        </w:tc>
        <w:tc>
          <w:tcPr>
            <w:tcW w:w="3628" w:type="dxa"/>
          </w:tcPr>
          <w:p w:rsidR="00504DD8" w:rsidRPr="00390130" w:rsidRDefault="00504DD8" w:rsidP="00FA0573">
            <w:pPr>
              <w:kinsoku w:val="0"/>
              <w:overflowPunct w:val="0"/>
              <w:spacing w:line="420" w:lineRule="exact"/>
              <w:ind w:left="960" w:hangingChars="400" w:hanging="960"/>
              <w:jc w:val="both"/>
              <w:textAlignment w:val="center"/>
              <w:rPr>
                <w:rFonts w:eastAsia="標楷體"/>
              </w:rPr>
            </w:pPr>
            <w:r w:rsidRPr="00390130">
              <w:rPr>
                <w:rFonts w:eastAsia="標楷體"/>
              </w:rPr>
              <w:t>四十七、簽證精算人員應提供特定商品之統計表</w:t>
            </w:r>
            <w:r w:rsidR="00FA0573">
              <w:rPr>
                <w:rFonts w:eastAsia="標楷體" w:hint="eastAsia"/>
              </w:rPr>
              <w:t>(</w:t>
            </w:r>
            <w:r w:rsidRPr="00390130">
              <w:rPr>
                <w:rFonts w:eastAsia="標楷體"/>
              </w:rPr>
              <w:t>詳指定附表</w:t>
            </w:r>
            <w:r w:rsidRPr="00390130">
              <w:rPr>
                <w:rFonts w:eastAsia="標楷體"/>
              </w:rPr>
              <w:t>11</w:t>
            </w:r>
            <w:r w:rsidR="00FA0573">
              <w:rPr>
                <w:rFonts w:eastAsia="標楷體" w:hint="eastAsia"/>
              </w:rPr>
              <w:t>)</w:t>
            </w:r>
            <w:r w:rsidRPr="00390130">
              <w:rPr>
                <w:rFonts w:eastAsia="標楷體"/>
              </w:rPr>
              <w:t>。</w:t>
            </w:r>
          </w:p>
        </w:tc>
        <w:tc>
          <w:tcPr>
            <w:tcW w:w="2154" w:type="dxa"/>
          </w:tcPr>
          <w:p w:rsidR="00504DD8" w:rsidRPr="00390130" w:rsidRDefault="003B00D4" w:rsidP="00390130">
            <w:pPr>
              <w:kinsoku w:val="0"/>
              <w:overflowPunct w:val="0"/>
              <w:spacing w:line="440" w:lineRule="exact"/>
              <w:jc w:val="both"/>
              <w:textAlignment w:val="center"/>
              <w:rPr>
                <w:rFonts w:eastAsia="標楷體"/>
              </w:rPr>
            </w:pPr>
            <w:r w:rsidRPr="00390130">
              <w:rPr>
                <w:rFonts w:eastAsia="標楷體"/>
              </w:rPr>
              <w:t>考量特定複利增額型終身壽險商品持續以公司實際投資報酬率為基礎重新評估擇定適當之責任準備金提存利率並計算責任準備金增提金額，為簡化簽證作業，</w:t>
            </w:r>
            <w:r w:rsidR="00504DD8" w:rsidRPr="00390130">
              <w:rPr>
                <w:rFonts w:eastAsia="標楷體"/>
              </w:rPr>
              <w:t>指定附表</w:t>
            </w:r>
            <w:r w:rsidR="00504DD8" w:rsidRPr="00390130">
              <w:rPr>
                <w:rFonts w:eastAsia="標楷體"/>
              </w:rPr>
              <w:t>11</w:t>
            </w:r>
            <w:r w:rsidR="00E25E15" w:rsidRPr="00390130">
              <w:rPr>
                <w:rFonts w:eastAsia="標楷體"/>
              </w:rPr>
              <w:t>刪除特定複利增額型終身壽險商品</w:t>
            </w:r>
            <w:r w:rsidR="00504DD8" w:rsidRPr="00390130">
              <w:rPr>
                <w:rFonts w:eastAsia="標楷體"/>
              </w:rPr>
              <w:t>。</w:t>
            </w:r>
          </w:p>
        </w:tc>
      </w:tr>
      <w:tr w:rsidR="00390130" w:rsidRPr="00390130" w:rsidTr="00390130">
        <w:trPr>
          <w:trHeight w:val="20"/>
        </w:trPr>
        <w:tc>
          <w:tcPr>
            <w:tcW w:w="3628" w:type="dxa"/>
          </w:tcPr>
          <w:p w:rsidR="00504DD8" w:rsidRPr="00390130" w:rsidRDefault="00504DD8" w:rsidP="00390130">
            <w:pPr>
              <w:kinsoku w:val="0"/>
              <w:overflowPunct w:val="0"/>
              <w:spacing w:line="420" w:lineRule="exact"/>
              <w:ind w:left="960" w:hangingChars="400" w:hanging="960"/>
              <w:jc w:val="both"/>
              <w:textAlignment w:val="center"/>
              <w:rPr>
                <w:rFonts w:eastAsia="標楷體"/>
              </w:rPr>
            </w:pPr>
            <w:r w:rsidRPr="00390130">
              <w:rPr>
                <w:rFonts w:eastAsia="標楷體"/>
              </w:rPr>
              <w:t>五十三、簽證精算人員應提供利率變動型商品準備金適足性測試結果</w:t>
            </w:r>
            <w:r w:rsidR="00FA0573">
              <w:rPr>
                <w:rFonts w:eastAsia="標楷體" w:hint="eastAsia"/>
              </w:rPr>
              <w:t>(</w:t>
            </w:r>
            <w:r w:rsidRPr="00390130">
              <w:rPr>
                <w:rFonts w:eastAsia="標楷體"/>
              </w:rPr>
              <w:t>詳指定附表</w:t>
            </w:r>
            <w:r w:rsidRPr="00390130">
              <w:rPr>
                <w:rFonts w:eastAsia="標楷體"/>
              </w:rPr>
              <w:t>5</w:t>
            </w:r>
            <w:r w:rsidRPr="00390130">
              <w:rPr>
                <w:rFonts w:eastAsia="標楷體"/>
              </w:rPr>
              <w:t>及指定附表</w:t>
            </w:r>
            <w:r w:rsidRPr="00390130">
              <w:rPr>
                <w:rFonts w:eastAsia="標楷體"/>
              </w:rPr>
              <w:t>6</w:t>
            </w:r>
            <w:r w:rsidR="00FA0573">
              <w:rPr>
                <w:rFonts w:eastAsia="標楷體" w:hint="eastAsia"/>
              </w:rPr>
              <w:t>)</w:t>
            </w:r>
            <w:r w:rsidRPr="00390130">
              <w:rPr>
                <w:rFonts w:eastAsia="標楷體"/>
              </w:rPr>
              <w:t>，若準備金適足性測試採向一般帳戶借貸者，應進一步提供在未向一般帳戶借貸且採直接處分資產策略下之準備金適足性測試結果。如整體責任準備金或新契約保</w:t>
            </w:r>
            <w:r w:rsidRPr="00390130">
              <w:rPr>
                <w:rFonts w:eastAsia="標楷體"/>
              </w:rPr>
              <w:lastRenderedPageBreak/>
              <w:t>費收入占率顯著，則應單獨載明不低於</w:t>
            </w:r>
            <w:r w:rsidRPr="00390130">
              <w:rPr>
                <w:rFonts w:eastAsia="標楷體"/>
              </w:rPr>
              <w:t>CTE65</w:t>
            </w:r>
            <w:r w:rsidRPr="00390130">
              <w:rPr>
                <w:rFonts w:eastAsia="標楷體"/>
              </w:rPr>
              <w:t>之準備金適足性判斷標準，且就</w:t>
            </w:r>
            <w:r w:rsidRPr="00390130">
              <w:rPr>
                <w:rFonts w:eastAsia="標楷體"/>
              </w:rPr>
              <w:t>1,000</w:t>
            </w:r>
            <w:r w:rsidRPr="00390130">
              <w:rPr>
                <w:rFonts w:eastAsia="標楷體"/>
              </w:rPr>
              <w:t>組情境、主管機關指定情境、</w:t>
            </w:r>
            <w:r w:rsidRPr="00390130">
              <w:rPr>
                <w:rFonts w:eastAsia="標楷體"/>
              </w:rPr>
              <w:t>NY7</w:t>
            </w:r>
            <w:r w:rsidRPr="00390130">
              <w:rPr>
                <w:rFonts w:eastAsia="標楷體"/>
              </w:rPr>
              <w:t>情境、最佳估計情境及極端情境之測試結果及其合理性深入分析並適當表達精算意見，若有不適足者，應提供簽署公司達該準備金適足性標準所需立即增提之準備金金額。檢送主管機關之補提計畫若採分次增提準備金者，該增提年限最長不得超過負債面所計算不含保費收入之麥氏存續期間</w:t>
            </w:r>
            <w:r w:rsidRPr="00390130">
              <w:rPr>
                <w:rFonts w:eastAsia="標楷體"/>
              </w:rPr>
              <w:t>(Macaulay Duration)</w:t>
            </w:r>
            <w:r w:rsidRPr="00390130">
              <w:rPr>
                <w:rFonts w:eastAsia="標楷體"/>
              </w:rPr>
              <w:t>，與</w:t>
            </w:r>
            <w:r w:rsidRPr="00390130">
              <w:rPr>
                <w:rFonts w:eastAsia="標楷體"/>
              </w:rPr>
              <w:t>10</w:t>
            </w:r>
            <w:r w:rsidRPr="00390130">
              <w:rPr>
                <w:rFonts w:eastAsia="標楷體"/>
              </w:rPr>
              <w:t>年取小值。</w:t>
            </w:r>
          </w:p>
          <w:p w:rsidR="00504DD8" w:rsidRPr="00390130" w:rsidRDefault="00504DD8" w:rsidP="001929ED">
            <w:pPr>
              <w:kinsoku w:val="0"/>
              <w:overflowPunct w:val="0"/>
              <w:spacing w:line="420" w:lineRule="exact"/>
              <w:ind w:leftChars="400" w:left="960"/>
              <w:jc w:val="both"/>
              <w:textAlignment w:val="center"/>
              <w:rPr>
                <w:rFonts w:eastAsia="標楷體"/>
                <w:u w:val="single"/>
              </w:rPr>
            </w:pPr>
            <w:r w:rsidRPr="00390130">
              <w:rPr>
                <w:rFonts w:eastAsia="標楷體"/>
                <w:u w:val="single"/>
              </w:rPr>
              <w:t>利率變動型商品準備金</w:t>
            </w:r>
            <w:r w:rsidR="001929ED">
              <w:rPr>
                <w:rFonts w:eastAsia="標楷體" w:hint="eastAsia"/>
                <w:u w:val="single"/>
              </w:rPr>
              <w:t>占</w:t>
            </w:r>
            <w:r w:rsidRPr="00390130">
              <w:rPr>
                <w:rFonts w:eastAsia="標楷體"/>
                <w:u w:val="single"/>
              </w:rPr>
              <w:t>率不顯著之區隔帳戶可考量併入未區隔資產執行準備金適足性測試。</w:t>
            </w:r>
          </w:p>
        </w:tc>
        <w:tc>
          <w:tcPr>
            <w:tcW w:w="3628" w:type="dxa"/>
          </w:tcPr>
          <w:p w:rsidR="00504DD8" w:rsidRPr="00390130" w:rsidRDefault="00504DD8" w:rsidP="00FA0573">
            <w:pPr>
              <w:kinsoku w:val="0"/>
              <w:overflowPunct w:val="0"/>
              <w:spacing w:line="420" w:lineRule="exact"/>
              <w:ind w:left="960" w:hangingChars="400" w:hanging="960"/>
              <w:jc w:val="both"/>
              <w:textAlignment w:val="center"/>
              <w:rPr>
                <w:rFonts w:eastAsia="標楷體"/>
              </w:rPr>
            </w:pPr>
            <w:r w:rsidRPr="00390130">
              <w:rPr>
                <w:rFonts w:eastAsia="標楷體"/>
              </w:rPr>
              <w:lastRenderedPageBreak/>
              <w:t>五十三、簽證精算人員應提供利率變動型商品準備金適足性測試結果</w:t>
            </w:r>
            <w:r w:rsidR="00FA0573">
              <w:rPr>
                <w:rFonts w:eastAsia="標楷體" w:hint="eastAsia"/>
              </w:rPr>
              <w:t>(</w:t>
            </w:r>
            <w:r w:rsidRPr="00390130">
              <w:rPr>
                <w:rFonts w:eastAsia="標楷體"/>
              </w:rPr>
              <w:t>詳指定附表</w:t>
            </w:r>
            <w:r w:rsidRPr="00390130">
              <w:rPr>
                <w:rFonts w:eastAsia="標楷體"/>
              </w:rPr>
              <w:t>5</w:t>
            </w:r>
            <w:r w:rsidRPr="00390130">
              <w:rPr>
                <w:rFonts w:eastAsia="標楷體"/>
              </w:rPr>
              <w:t>及指定附表</w:t>
            </w:r>
            <w:r w:rsidRPr="00390130">
              <w:rPr>
                <w:rFonts w:eastAsia="標楷體"/>
              </w:rPr>
              <w:t>6</w:t>
            </w:r>
            <w:r w:rsidR="00FA0573">
              <w:rPr>
                <w:rFonts w:eastAsia="標楷體" w:hint="eastAsia"/>
              </w:rPr>
              <w:t>)</w:t>
            </w:r>
            <w:r w:rsidRPr="00390130">
              <w:rPr>
                <w:rFonts w:eastAsia="標楷體"/>
              </w:rPr>
              <w:t>，若準備金適足性測試採向一般帳戶借貸者，應進一步提供在未向一般帳戶借貸且採直接處分資產策略下之準備金適足性測試結果。如整體責任準備金或新契約保</w:t>
            </w:r>
            <w:r w:rsidRPr="00390130">
              <w:rPr>
                <w:rFonts w:eastAsia="標楷體"/>
              </w:rPr>
              <w:lastRenderedPageBreak/>
              <w:t>費收入占率顯著，則應單獨載明不低於</w:t>
            </w:r>
            <w:r w:rsidRPr="00390130">
              <w:rPr>
                <w:rFonts w:eastAsia="標楷體"/>
              </w:rPr>
              <w:t>CTE65</w:t>
            </w:r>
            <w:r w:rsidRPr="00390130">
              <w:rPr>
                <w:rFonts w:eastAsia="標楷體"/>
              </w:rPr>
              <w:t>之準備金適足性判斷標準，且就</w:t>
            </w:r>
            <w:r w:rsidRPr="00390130">
              <w:rPr>
                <w:rFonts w:eastAsia="標楷體"/>
              </w:rPr>
              <w:t>1,000</w:t>
            </w:r>
            <w:r w:rsidRPr="00390130">
              <w:rPr>
                <w:rFonts w:eastAsia="標楷體"/>
              </w:rPr>
              <w:t>組情境、主管機關指定情境、</w:t>
            </w:r>
            <w:r w:rsidRPr="00390130">
              <w:rPr>
                <w:rFonts w:eastAsia="標楷體"/>
              </w:rPr>
              <w:t>NY7</w:t>
            </w:r>
            <w:r w:rsidRPr="00390130">
              <w:rPr>
                <w:rFonts w:eastAsia="標楷體"/>
              </w:rPr>
              <w:t>情境、最佳估計情境及極端情境之測試結果及其合理性深入分析並適當表達精算意見，若有不適足者，應提供簽署公司達該準備金適足性標準所需立即增提之準備金金額。檢送主管機關之補提計畫若採分次增提準備金者，該增提年限最長不得超過負債面所計算不含保費收入之麥氏存續期間</w:t>
            </w:r>
            <w:r w:rsidRPr="00390130">
              <w:rPr>
                <w:rFonts w:eastAsia="標楷體"/>
              </w:rPr>
              <w:t>(Macaulay Duration)</w:t>
            </w:r>
            <w:r w:rsidRPr="00390130">
              <w:rPr>
                <w:rFonts w:eastAsia="標楷體"/>
              </w:rPr>
              <w:t>，與</w:t>
            </w:r>
            <w:r w:rsidRPr="00390130">
              <w:rPr>
                <w:rFonts w:eastAsia="標楷體"/>
              </w:rPr>
              <w:t>10</w:t>
            </w:r>
            <w:r w:rsidRPr="00390130">
              <w:rPr>
                <w:rFonts w:eastAsia="標楷體"/>
              </w:rPr>
              <w:t>年取小值。</w:t>
            </w:r>
          </w:p>
        </w:tc>
        <w:tc>
          <w:tcPr>
            <w:tcW w:w="2154" w:type="dxa"/>
          </w:tcPr>
          <w:p w:rsidR="00504DD8" w:rsidRPr="00390130" w:rsidRDefault="00504DD8" w:rsidP="001929ED">
            <w:pPr>
              <w:kinsoku w:val="0"/>
              <w:overflowPunct w:val="0"/>
              <w:spacing w:line="440" w:lineRule="exact"/>
              <w:jc w:val="both"/>
              <w:textAlignment w:val="center"/>
              <w:rPr>
                <w:rFonts w:eastAsia="標楷體"/>
              </w:rPr>
            </w:pPr>
            <w:r w:rsidRPr="00390130">
              <w:rPr>
                <w:rFonts w:eastAsia="標楷體"/>
              </w:rPr>
              <w:lastRenderedPageBreak/>
              <w:t>為簡化簽證作業，增列利率變動型商品準備金</w:t>
            </w:r>
            <w:r w:rsidR="001929ED">
              <w:rPr>
                <w:rFonts w:eastAsia="標楷體" w:hint="eastAsia"/>
              </w:rPr>
              <w:t>占</w:t>
            </w:r>
            <w:r w:rsidRPr="00390130">
              <w:rPr>
                <w:rFonts w:eastAsia="標楷體"/>
              </w:rPr>
              <w:t>率不顯著之區隔帳戶可考量併入未區隔資產執行準備金適足性測試。</w:t>
            </w:r>
          </w:p>
        </w:tc>
      </w:tr>
      <w:tr w:rsidR="00390130" w:rsidRPr="00390130" w:rsidTr="00390130">
        <w:trPr>
          <w:trHeight w:val="20"/>
        </w:trPr>
        <w:tc>
          <w:tcPr>
            <w:tcW w:w="3628" w:type="dxa"/>
          </w:tcPr>
          <w:p w:rsidR="00504DD8" w:rsidRPr="00390130" w:rsidRDefault="00504DD8" w:rsidP="00390130">
            <w:pPr>
              <w:kinsoku w:val="0"/>
              <w:overflowPunct w:val="0"/>
              <w:spacing w:line="420" w:lineRule="exact"/>
              <w:ind w:left="960" w:hangingChars="400" w:hanging="960"/>
              <w:jc w:val="both"/>
              <w:textAlignment w:val="center"/>
              <w:rPr>
                <w:rFonts w:eastAsia="標楷體"/>
              </w:rPr>
            </w:pPr>
            <w:r w:rsidRPr="00390130">
              <w:rPr>
                <w:rFonts w:eastAsia="標楷體"/>
                <w:u w:val="single"/>
              </w:rPr>
              <w:lastRenderedPageBreak/>
              <w:t>（刪除）</w:t>
            </w:r>
          </w:p>
        </w:tc>
        <w:tc>
          <w:tcPr>
            <w:tcW w:w="3628" w:type="dxa"/>
          </w:tcPr>
          <w:p w:rsidR="00504DD8" w:rsidRPr="00390130" w:rsidRDefault="00504DD8" w:rsidP="00390130">
            <w:pPr>
              <w:kinsoku w:val="0"/>
              <w:overflowPunct w:val="0"/>
              <w:spacing w:line="420" w:lineRule="exact"/>
              <w:ind w:left="960" w:hangingChars="400" w:hanging="960"/>
              <w:jc w:val="both"/>
              <w:textAlignment w:val="center"/>
              <w:rPr>
                <w:rFonts w:eastAsia="標楷體"/>
                <w:u w:val="single"/>
              </w:rPr>
            </w:pPr>
            <w:r w:rsidRPr="00390130">
              <w:rPr>
                <w:rFonts w:eastAsia="標楷體"/>
                <w:u w:val="single"/>
              </w:rPr>
              <w:t>五十六、簽證精算人員應以現金流量測試法進行特定複利增額型終身壽險商品準備金適足性分析。</w:t>
            </w:r>
          </w:p>
          <w:p w:rsidR="00504DD8" w:rsidRPr="00390130" w:rsidRDefault="00504DD8" w:rsidP="00390130">
            <w:pPr>
              <w:kinsoku w:val="0"/>
              <w:overflowPunct w:val="0"/>
              <w:spacing w:line="420" w:lineRule="exact"/>
              <w:ind w:leftChars="400" w:left="960"/>
              <w:jc w:val="both"/>
              <w:textAlignment w:val="center"/>
              <w:rPr>
                <w:rFonts w:eastAsia="標楷體"/>
              </w:rPr>
            </w:pPr>
            <w:r w:rsidRPr="00390130">
              <w:rPr>
                <w:rFonts w:eastAsia="標楷體"/>
                <w:u w:val="single"/>
              </w:rPr>
              <w:t>簽證精算人員應說明是否有固定保單借款利率且大量保單借款或有契</w:t>
            </w:r>
            <w:r w:rsidRPr="00390130">
              <w:rPr>
                <w:rFonts w:eastAsia="標楷體"/>
                <w:u w:val="single"/>
              </w:rPr>
              <w:lastRenderedPageBreak/>
              <w:t>約變更之情事，如有前述情事應納入模型評估。</w:t>
            </w:r>
          </w:p>
        </w:tc>
        <w:tc>
          <w:tcPr>
            <w:tcW w:w="2154" w:type="dxa"/>
          </w:tcPr>
          <w:p w:rsidR="00504DD8" w:rsidRPr="00390130" w:rsidRDefault="00504DD8" w:rsidP="001929ED">
            <w:pPr>
              <w:kinsoku w:val="0"/>
              <w:overflowPunct w:val="0"/>
              <w:spacing w:line="440" w:lineRule="exact"/>
              <w:jc w:val="both"/>
              <w:textAlignment w:val="center"/>
              <w:rPr>
                <w:rFonts w:eastAsia="標楷體"/>
              </w:rPr>
            </w:pPr>
            <w:r w:rsidRPr="00390130">
              <w:rPr>
                <w:rFonts w:eastAsia="標楷體"/>
              </w:rPr>
              <w:lastRenderedPageBreak/>
              <w:t>考量</w:t>
            </w:r>
            <w:r w:rsidR="003B00D4" w:rsidRPr="00390130">
              <w:rPr>
                <w:rFonts w:eastAsia="標楷體"/>
              </w:rPr>
              <w:t>特定複利增額型終身壽險商品</w:t>
            </w:r>
            <w:r w:rsidRPr="00390130">
              <w:rPr>
                <w:rFonts w:eastAsia="標楷體"/>
              </w:rPr>
              <w:t>並無實際區隔資產進行個別管理，且持續以公司實際投資報酬率為基礎重新</w:t>
            </w:r>
            <w:r w:rsidRPr="00390130">
              <w:rPr>
                <w:rFonts w:eastAsia="標楷體"/>
              </w:rPr>
              <w:lastRenderedPageBreak/>
              <w:t>評估擇定適當之責任準備金提存利率並計算責任準備金增提金額，為簡化簽證作業，刪除本</w:t>
            </w:r>
            <w:r w:rsidR="001929ED">
              <w:rPr>
                <w:rFonts w:eastAsia="標楷體" w:hint="eastAsia"/>
              </w:rPr>
              <w:t>點</w:t>
            </w:r>
            <w:r w:rsidRPr="00390130">
              <w:rPr>
                <w:rFonts w:eastAsia="標楷體"/>
              </w:rPr>
              <w:t>。</w:t>
            </w:r>
          </w:p>
        </w:tc>
      </w:tr>
      <w:tr w:rsidR="00390130" w:rsidRPr="00390130" w:rsidTr="00390130">
        <w:trPr>
          <w:trHeight w:val="20"/>
        </w:trPr>
        <w:tc>
          <w:tcPr>
            <w:tcW w:w="3628" w:type="dxa"/>
          </w:tcPr>
          <w:p w:rsidR="00504DD8" w:rsidRPr="00390130" w:rsidRDefault="00504DD8" w:rsidP="00390130">
            <w:pPr>
              <w:kinsoku w:val="0"/>
              <w:overflowPunct w:val="0"/>
              <w:spacing w:line="420" w:lineRule="exact"/>
              <w:ind w:left="960" w:hangingChars="400" w:hanging="960"/>
              <w:jc w:val="both"/>
              <w:textAlignment w:val="center"/>
              <w:rPr>
                <w:rFonts w:eastAsia="標楷體"/>
                <w:u w:val="single"/>
              </w:rPr>
            </w:pPr>
            <w:r w:rsidRPr="00390130">
              <w:rPr>
                <w:rFonts w:eastAsia="標楷體"/>
                <w:u w:val="single"/>
              </w:rPr>
              <w:lastRenderedPageBreak/>
              <w:t>（刪除）</w:t>
            </w:r>
          </w:p>
        </w:tc>
        <w:tc>
          <w:tcPr>
            <w:tcW w:w="3628" w:type="dxa"/>
          </w:tcPr>
          <w:p w:rsidR="00504DD8" w:rsidRPr="00390130" w:rsidRDefault="00504DD8" w:rsidP="001929ED">
            <w:pPr>
              <w:kinsoku w:val="0"/>
              <w:overflowPunct w:val="0"/>
              <w:spacing w:line="420" w:lineRule="exact"/>
              <w:ind w:left="960" w:hangingChars="400" w:hanging="960"/>
              <w:jc w:val="both"/>
              <w:textAlignment w:val="center"/>
              <w:rPr>
                <w:rFonts w:eastAsia="標楷體"/>
                <w:u w:val="single"/>
              </w:rPr>
            </w:pPr>
            <w:r w:rsidRPr="00390130">
              <w:rPr>
                <w:rFonts w:eastAsia="標楷體"/>
                <w:u w:val="single"/>
              </w:rPr>
              <w:t>五十七、簽證精算人員應提供特定複利增額型終身壽險商品準備金適足性測試結果</w:t>
            </w:r>
            <w:r w:rsidR="001929ED">
              <w:rPr>
                <w:rFonts w:eastAsia="標楷體" w:hint="eastAsia"/>
                <w:u w:val="single"/>
              </w:rPr>
              <w:t>(</w:t>
            </w:r>
            <w:r w:rsidRPr="00390130">
              <w:rPr>
                <w:rFonts w:eastAsia="標楷體"/>
                <w:u w:val="single"/>
              </w:rPr>
              <w:t>詳指定附表</w:t>
            </w:r>
            <w:r w:rsidRPr="00390130">
              <w:rPr>
                <w:rFonts w:eastAsia="標楷體"/>
                <w:u w:val="single"/>
              </w:rPr>
              <w:t>5</w:t>
            </w:r>
            <w:r w:rsidRPr="00390130">
              <w:rPr>
                <w:rFonts w:eastAsia="標楷體"/>
                <w:u w:val="single"/>
              </w:rPr>
              <w:t>及指定附表</w:t>
            </w:r>
            <w:r w:rsidRPr="00390130">
              <w:rPr>
                <w:rFonts w:eastAsia="標楷體"/>
                <w:u w:val="single"/>
              </w:rPr>
              <w:t>6</w:t>
            </w:r>
            <w:r w:rsidR="001929ED">
              <w:rPr>
                <w:rFonts w:eastAsia="標楷體" w:hint="eastAsia"/>
                <w:u w:val="single"/>
              </w:rPr>
              <w:t>)</w:t>
            </w:r>
            <w:r w:rsidRPr="00390130">
              <w:rPr>
                <w:rFonts w:eastAsia="標楷體"/>
                <w:u w:val="single"/>
              </w:rPr>
              <w:t>，如整體責任準備金或新契約保費收入占率顯著，則應單獨載明不低於</w:t>
            </w:r>
            <w:r w:rsidRPr="00390130">
              <w:rPr>
                <w:rFonts w:eastAsia="標楷體"/>
                <w:u w:val="single"/>
              </w:rPr>
              <w:t>CTE65</w:t>
            </w:r>
            <w:r w:rsidRPr="00390130">
              <w:rPr>
                <w:rFonts w:eastAsia="標楷體"/>
                <w:u w:val="single"/>
              </w:rPr>
              <w:t>之準備金適足性判斷標準，且就</w:t>
            </w:r>
            <w:r w:rsidRPr="00390130">
              <w:rPr>
                <w:rFonts w:eastAsia="標楷體"/>
                <w:u w:val="single"/>
              </w:rPr>
              <w:t>1,000</w:t>
            </w:r>
            <w:r w:rsidRPr="00390130">
              <w:rPr>
                <w:rFonts w:eastAsia="標楷體"/>
                <w:u w:val="single"/>
              </w:rPr>
              <w:t>組情境、主管機關指定情境、</w:t>
            </w:r>
            <w:r w:rsidRPr="00390130">
              <w:rPr>
                <w:rFonts w:eastAsia="標楷體"/>
                <w:u w:val="single"/>
              </w:rPr>
              <w:t>NY7</w:t>
            </w:r>
            <w:r w:rsidRPr="00390130">
              <w:rPr>
                <w:rFonts w:eastAsia="標楷體"/>
                <w:u w:val="single"/>
              </w:rPr>
              <w:t>情境、最佳估計情境及極端情境之測試結果及其合理性深入分析並適當表達精算意見，若有不適足者，應提供簽署公司達該準備金適足性標準所需立即增提之準備金金額。</w:t>
            </w:r>
          </w:p>
        </w:tc>
        <w:tc>
          <w:tcPr>
            <w:tcW w:w="2154" w:type="dxa"/>
          </w:tcPr>
          <w:p w:rsidR="00504DD8" w:rsidRPr="00390130" w:rsidRDefault="00504DD8" w:rsidP="001929ED">
            <w:pPr>
              <w:kinsoku w:val="0"/>
              <w:overflowPunct w:val="0"/>
              <w:spacing w:line="440" w:lineRule="exact"/>
              <w:jc w:val="both"/>
              <w:textAlignment w:val="center"/>
              <w:rPr>
                <w:rFonts w:eastAsia="標楷體"/>
              </w:rPr>
            </w:pPr>
            <w:r w:rsidRPr="00390130">
              <w:rPr>
                <w:rFonts w:eastAsia="標楷體"/>
              </w:rPr>
              <w:t>考量</w:t>
            </w:r>
            <w:r w:rsidR="001645D7" w:rsidRPr="00390130">
              <w:rPr>
                <w:rFonts w:eastAsia="標楷體"/>
              </w:rPr>
              <w:t>特定複利增額型終身壽險商品</w:t>
            </w:r>
            <w:r w:rsidRPr="00390130">
              <w:rPr>
                <w:rFonts w:eastAsia="標楷體"/>
              </w:rPr>
              <w:t>並無實際區隔資產進行個別管理，且持續以公司實際投資報酬率為基礎重新評估擇定適當之責任準備金提存利率並計算責任準備金增提金額，為簡化簽證作業，建議刪除本</w:t>
            </w:r>
            <w:r w:rsidR="001929ED">
              <w:rPr>
                <w:rFonts w:eastAsia="標楷體" w:hint="eastAsia"/>
              </w:rPr>
              <w:t>點</w:t>
            </w:r>
            <w:r w:rsidRPr="00390130">
              <w:rPr>
                <w:rFonts w:eastAsia="標楷體"/>
              </w:rPr>
              <w:t>。</w:t>
            </w:r>
          </w:p>
        </w:tc>
      </w:tr>
      <w:tr w:rsidR="00390130" w:rsidRPr="00390130" w:rsidTr="00390130">
        <w:trPr>
          <w:trHeight w:val="20"/>
        </w:trPr>
        <w:tc>
          <w:tcPr>
            <w:tcW w:w="3628" w:type="dxa"/>
          </w:tcPr>
          <w:p w:rsidR="00742FA9" w:rsidRPr="00390130" w:rsidRDefault="00742FA9" w:rsidP="00390130">
            <w:pPr>
              <w:kinsoku w:val="0"/>
              <w:overflowPunct w:val="0"/>
              <w:spacing w:line="420" w:lineRule="exact"/>
              <w:ind w:left="1440" w:hangingChars="600" w:hanging="1440"/>
              <w:jc w:val="both"/>
              <w:textAlignment w:val="center"/>
              <w:rPr>
                <w:rFonts w:eastAsia="標楷體"/>
              </w:rPr>
            </w:pPr>
            <w:r w:rsidRPr="00390130">
              <w:rPr>
                <w:rFonts w:eastAsia="標楷體"/>
              </w:rPr>
              <w:t>六十三之一、簽證精算人員應提供傳統型外幣保險商品準備金適足性測試結果</w:t>
            </w:r>
            <w:r w:rsidR="001929ED">
              <w:rPr>
                <w:rFonts w:eastAsia="標楷體" w:hint="eastAsia"/>
              </w:rPr>
              <w:t>(</w:t>
            </w:r>
            <w:r w:rsidRPr="00390130">
              <w:rPr>
                <w:rFonts w:eastAsia="標楷體"/>
              </w:rPr>
              <w:t>詳指定附表</w:t>
            </w:r>
            <w:r w:rsidRPr="00390130">
              <w:rPr>
                <w:rFonts w:eastAsia="標楷體"/>
              </w:rPr>
              <w:t>5</w:t>
            </w:r>
            <w:r w:rsidRPr="00390130">
              <w:rPr>
                <w:rFonts w:eastAsia="標楷體"/>
              </w:rPr>
              <w:t>及指定附表</w:t>
            </w:r>
            <w:r w:rsidRPr="00390130">
              <w:rPr>
                <w:rFonts w:eastAsia="標楷體"/>
              </w:rPr>
              <w:t>6</w:t>
            </w:r>
            <w:r w:rsidR="001929ED">
              <w:rPr>
                <w:rFonts w:eastAsia="標楷體" w:hint="eastAsia"/>
              </w:rPr>
              <w:t>)</w:t>
            </w:r>
            <w:r w:rsidRPr="00390130">
              <w:rPr>
                <w:rFonts w:eastAsia="標楷體"/>
              </w:rPr>
              <w:t>，如整體責任準</w:t>
            </w:r>
            <w:r w:rsidRPr="00390130">
              <w:rPr>
                <w:rFonts w:eastAsia="標楷體"/>
              </w:rPr>
              <w:lastRenderedPageBreak/>
              <w:t>備金或新契約保費收入占率顯著，則應單獨載明不低於</w:t>
            </w:r>
            <w:r w:rsidRPr="00390130">
              <w:rPr>
                <w:rFonts w:eastAsia="標楷體"/>
              </w:rPr>
              <w:t>CTE65</w:t>
            </w:r>
            <w:r w:rsidRPr="00390130">
              <w:rPr>
                <w:rFonts w:eastAsia="標楷體"/>
              </w:rPr>
              <w:t>之準備金適足性判斷標準，且就</w:t>
            </w:r>
            <w:r w:rsidRPr="00390130">
              <w:rPr>
                <w:rFonts w:eastAsia="標楷體"/>
              </w:rPr>
              <w:t>1,000</w:t>
            </w:r>
            <w:r w:rsidRPr="00390130">
              <w:rPr>
                <w:rFonts w:eastAsia="標楷體"/>
              </w:rPr>
              <w:t>組情境、主管機關指定情境、</w:t>
            </w:r>
            <w:r w:rsidRPr="00390130">
              <w:rPr>
                <w:rFonts w:eastAsia="標楷體"/>
              </w:rPr>
              <w:t>NY7</w:t>
            </w:r>
            <w:r w:rsidRPr="00390130">
              <w:rPr>
                <w:rFonts w:eastAsia="標楷體"/>
              </w:rPr>
              <w:t>情境、最佳估計情境及極端情境之測試結果及其合理性深入分析並適當表達精算意見，若有不適足者，應提供公司達該準備金適足性標準所應增加之準備金金額。</w:t>
            </w:r>
          </w:p>
          <w:p w:rsidR="00742FA9" w:rsidRPr="00390130" w:rsidRDefault="00742FA9" w:rsidP="001929ED">
            <w:pPr>
              <w:kinsoku w:val="0"/>
              <w:overflowPunct w:val="0"/>
              <w:spacing w:line="420" w:lineRule="exact"/>
              <w:ind w:leftChars="600" w:left="1440"/>
              <w:jc w:val="both"/>
              <w:textAlignment w:val="center"/>
              <w:rPr>
                <w:rFonts w:eastAsia="標楷體"/>
                <w:u w:val="single"/>
              </w:rPr>
            </w:pPr>
            <w:r w:rsidRPr="00390130">
              <w:rPr>
                <w:rFonts w:eastAsia="標楷體"/>
                <w:u w:val="single"/>
              </w:rPr>
              <w:t>傳統型外幣保險商品準備金</w:t>
            </w:r>
            <w:r w:rsidR="001929ED">
              <w:rPr>
                <w:rFonts w:eastAsia="標楷體" w:hint="eastAsia"/>
                <w:u w:val="single"/>
              </w:rPr>
              <w:t>占</w:t>
            </w:r>
            <w:r w:rsidRPr="00390130">
              <w:rPr>
                <w:rFonts w:eastAsia="標楷體"/>
                <w:u w:val="single"/>
              </w:rPr>
              <w:t>率不顯著之區隔帳戶可考量併入未區隔資產執行準備金適足性測試。</w:t>
            </w:r>
          </w:p>
        </w:tc>
        <w:tc>
          <w:tcPr>
            <w:tcW w:w="3628" w:type="dxa"/>
          </w:tcPr>
          <w:p w:rsidR="00742FA9" w:rsidRPr="00390130" w:rsidRDefault="00742FA9" w:rsidP="001929ED">
            <w:pPr>
              <w:kinsoku w:val="0"/>
              <w:overflowPunct w:val="0"/>
              <w:spacing w:line="420" w:lineRule="exact"/>
              <w:ind w:left="1440" w:hangingChars="600" w:hanging="1440"/>
              <w:jc w:val="both"/>
              <w:textAlignment w:val="center"/>
              <w:rPr>
                <w:rFonts w:eastAsia="標楷體"/>
              </w:rPr>
            </w:pPr>
            <w:r w:rsidRPr="00390130">
              <w:rPr>
                <w:rFonts w:eastAsia="標楷體"/>
              </w:rPr>
              <w:lastRenderedPageBreak/>
              <w:t>六十三之一、簽證精算人員應提供傳統型外幣保險商品準備金適足性測試結果</w:t>
            </w:r>
            <w:r w:rsidR="001929ED">
              <w:rPr>
                <w:rFonts w:eastAsia="標楷體" w:hint="eastAsia"/>
              </w:rPr>
              <w:t>(</w:t>
            </w:r>
            <w:r w:rsidRPr="00390130">
              <w:rPr>
                <w:rFonts w:eastAsia="標楷體"/>
              </w:rPr>
              <w:t>詳指定附表</w:t>
            </w:r>
            <w:r w:rsidRPr="00390130">
              <w:rPr>
                <w:rFonts w:eastAsia="標楷體"/>
              </w:rPr>
              <w:t>5</w:t>
            </w:r>
            <w:r w:rsidRPr="00390130">
              <w:rPr>
                <w:rFonts w:eastAsia="標楷體"/>
              </w:rPr>
              <w:t>及指定附表</w:t>
            </w:r>
            <w:r w:rsidRPr="00390130">
              <w:rPr>
                <w:rFonts w:eastAsia="標楷體"/>
              </w:rPr>
              <w:t>6</w:t>
            </w:r>
            <w:r w:rsidR="001929ED">
              <w:rPr>
                <w:rFonts w:eastAsia="標楷體" w:hint="eastAsia"/>
              </w:rPr>
              <w:t>)</w:t>
            </w:r>
            <w:r w:rsidRPr="00390130">
              <w:rPr>
                <w:rFonts w:eastAsia="標楷體"/>
              </w:rPr>
              <w:t>，如整體責任準</w:t>
            </w:r>
            <w:r w:rsidRPr="00390130">
              <w:rPr>
                <w:rFonts w:eastAsia="標楷體"/>
              </w:rPr>
              <w:lastRenderedPageBreak/>
              <w:t>備金或新契約保費收入占率顯著，則應單獨載明不低於</w:t>
            </w:r>
            <w:r w:rsidRPr="00390130">
              <w:rPr>
                <w:rFonts w:eastAsia="標楷體"/>
              </w:rPr>
              <w:t>CTE65</w:t>
            </w:r>
            <w:r w:rsidRPr="00390130">
              <w:rPr>
                <w:rFonts w:eastAsia="標楷體"/>
              </w:rPr>
              <w:t>之準備金適足性判斷標準，且就</w:t>
            </w:r>
            <w:r w:rsidRPr="00390130">
              <w:rPr>
                <w:rFonts w:eastAsia="標楷體"/>
              </w:rPr>
              <w:t>1,000</w:t>
            </w:r>
            <w:r w:rsidRPr="00390130">
              <w:rPr>
                <w:rFonts w:eastAsia="標楷體"/>
              </w:rPr>
              <w:t>組情境、主管機關指定情境、</w:t>
            </w:r>
            <w:r w:rsidRPr="00390130">
              <w:rPr>
                <w:rFonts w:eastAsia="標楷體"/>
              </w:rPr>
              <w:t>NY7</w:t>
            </w:r>
            <w:r w:rsidRPr="00390130">
              <w:rPr>
                <w:rFonts w:eastAsia="標楷體"/>
              </w:rPr>
              <w:t>情境、最佳估計情境及極端情境之測試結果及其合理性深入分析並適當表達精算意見，若有不適足者，應提供公司達該準備金適足性標準所應增加之準備金金額。</w:t>
            </w:r>
          </w:p>
        </w:tc>
        <w:tc>
          <w:tcPr>
            <w:tcW w:w="2154" w:type="dxa"/>
          </w:tcPr>
          <w:p w:rsidR="00742FA9" w:rsidRPr="00390130" w:rsidRDefault="00742FA9" w:rsidP="001929ED">
            <w:pPr>
              <w:kinsoku w:val="0"/>
              <w:overflowPunct w:val="0"/>
              <w:spacing w:line="440" w:lineRule="exact"/>
              <w:jc w:val="both"/>
              <w:textAlignment w:val="center"/>
              <w:rPr>
                <w:rFonts w:eastAsia="標楷體"/>
              </w:rPr>
            </w:pPr>
            <w:r w:rsidRPr="00390130">
              <w:rPr>
                <w:rFonts w:eastAsia="標楷體"/>
              </w:rPr>
              <w:lastRenderedPageBreak/>
              <w:t>為簡化簽證作業，增列傳統型外幣保險商品準備金</w:t>
            </w:r>
            <w:r w:rsidR="001929ED">
              <w:rPr>
                <w:rFonts w:eastAsia="標楷體" w:hint="eastAsia"/>
              </w:rPr>
              <w:t>占</w:t>
            </w:r>
            <w:r w:rsidRPr="00390130">
              <w:rPr>
                <w:rFonts w:eastAsia="標楷體"/>
              </w:rPr>
              <w:t>率不顯著之區隔帳戶可考量併入未區隔資產執行準備金適</w:t>
            </w:r>
            <w:r w:rsidRPr="00390130">
              <w:rPr>
                <w:rFonts w:eastAsia="標楷體"/>
              </w:rPr>
              <w:lastRenderedPageBreak/>
              <w:t>足性測試。</w:t>
            </w:r>
          </w:p>
        </w:tc>
      </w:tr>
      <w:tr w:rsidR="00390130" w:rsidRPr="00390130" w:rsidTr="001929ED">
        <w:trPr>
          <w:trHeight w:val="5923"/>
        </w:trPr>
        <w:tc>
          <w:tcPr>
            <w:tcW w:w="3628" w:type="dxa"/>
          </w:tcPr>
          <w:p w:rsidR="00504DD8" w:rsidRPr="00390130" w:rsidRDefault="00504DD8" w:rsidP="00390130">
            <w:pPr>
              <w:kinsoku w:val="0"/>
              <w:overflowPunct w:val="0"/>
              <w:spacing w:line="440" w:lineRule="exact"/>
              <w:ind w:left="1440" w:hangingChars="600" w:hanging="1440"/>
              <w:jc w:val="both"/>
              <w:textAlignment w:val="center"/>
              <w:rPr>
                <w:rFonts w:eastAsia="標楷體"/>
              </w:rPr>
            </w:pPr>
            <w:r w:rsidRPr="00390130">
              <w:rPr>
                <w:rFonts w:eastAsia="標楷體"/>
              </w:rPr>
              <w:lastRenderedPageBreak/>
              <w:t>六十三之二、簽證精算人員應單獨針對長年期健康保險之準備金適足性適當表達精算意見，至少應包含下列各款：</w:t>
            </w:r>
          </w:p>
          <w:p w:rsidR="00504DD8" w:rsidRPr="00390130" w:rsidRDefault="001929ED" w:rsidP="001929ED">
            <w:pPr>
              <w:kinsoku w:val="0"/>
              <w:overflowPunct w:val="0"/>
              <w:spacing w:line="420" w:lineRule="exact"/>
              <w:ind w:leftChars="600" w:left="1872" w:hangingChars="180" w:hanging="432"/>
              <w:jc w:val="both"/>
              <w:textAlignment w:val="center"/>
              <w:rPr>
                <w:rFonts w:eastAsia="標楷體"/>
              </w:rPr>
            </w:pPr>
            <w:r>
              <w:rPr>
                <w:rFonts w:eastAsia="標楷體" w:hint="eastAsia"/>
              </w:rPr>
              <w:t>(</w:t>
            </w:r>
            <w:r w:rsidR="00504DD8" w:rsidRPr="00390130">
              <w:rPr>
                <w:rFonts w:eastAsia="標楷體"/>
              </w:rPr>
              <w:t>一</w:t>
            </w:r>
            <w:r>
              <w:rPr>
                <w:rFonts w:eastAsia="標楷體" w:hint="eastAsia"/>
              </w:rPr>
              <w:t>)</w:t>
            </w:r>
            <w:r w:rsidR="00504DD8" w:rsidRPr="00390130">
              <w:rPr>
                <w:rFonts w:eastAsia="標楷體"/>
              </w:rPr>
              <w:t>分析說明銷售中長年期健康險保險商品之損失率，針對損失率明顯惡化但公司仍在不調整費率下繼續銷售之個別商品，若有準備金不適足者，應提供簽署公司達準備金適足性標準所需立即增提之準備金金額。</w:t>
            </w:r>
          </w:p>
          <w:p w:rsidR="00504DD8" w:rsidRPr="00390130" w:rsidRDefault="001929ED" w:rsidP="001929ED">
            <w:pPr>
              <w:kinsoku w:val="0"/>
              <w:overflowPunct w:val="0"/>
              <w:spacing w:line="420" w:lineRule="exact"/>
              <w:ind w:leftChars="600" w:left="1872" w:hangingChars="180" w:hanging="432"/>
              <w:jc w:val="both"/>
              <w:textAlignment w:val="center"/>
              <w:rPr>
                <w:rFonts w:eastAsia="標楷體"/>
              </w:rPr>
            </w:pPr>
            <w:r>
              <w:rPr>
                <w:rFonts w:eastAsia="標楷體" w:hint="eastAsia"/>
              </w:rPr>
              <w:t>(</w:t>
            </w:r>
            <w:r w:rsidR="00504DD8" w:rsidRPr="00390130">
              <w:rPr>
                <w:rFonts w:eastAsia="標楷體"/>
              </w:rPr>
              <w:t>二</w:t>
            </w:r>
            <w:r>
              <w:rPr>
                <w:rFonts w:eastAsia="標楷體" w:hint="eastAsia"/>
              </w:rPr>
              <w:t>)</w:t>
            </w:r>
            <w:r w:rsidR="00504DD8" w:rsidRPr="00390130">
              <w:rPr>
                <w:rFonts w:eastAsia="標楷體"/>
              </w:rPr>
              <w:t>針對損失率明顯惡化之長年期健康保險商品，應提具準備金監控機制，該監控機制應考量商品風險特性之異同後訂定，若準</w:t>
            </w:r>
            <w:r w:rsidR="00504DD8" w:rsidRPr="00390130">
              <w:rPr>
                <w:rFonts w:eastAsia="標楷體"/>
              </w:rPr>
              <w:lastRenderedPageBreak/>
              <w:t>備金測試結果超過監控標準時，應提供簽署公司達準備金適足性標準所需立即增提之準備金金額。</w:t>
            </w:r>
          </w:p>
          <w:p w:rsidR="00504DD8" w:rsidRPr="00390130" w:rsidRDefault="00504DD8" w:rsidP="00390130">
            <w:pPr>
              <w:kinsoku w:val="0"/>
              <w:overflowPunct w:val="0"/>
              <w:spacing w:afterLines="250" w:after="900" w:line="420" w:lineRule="exact"/>
              <w:ind w:leftChars="600" w:left="1440"/>
              <w:jc w:val="both"/>
              <w:textAlignment w:val="center"/>
              <w:rPr>
                <w:rFonts w:eastAsia="標楷體"/>
              </w:rPr>
            </w:pPr>
            <w:r w:rsidRPr="00390130">
              <w:rPr>
                <w:rFonts w:eastAsia="標楷體"/>
                <w:u w:val="single"/>
              </w:rPr>
              <w:t>前項所稱損失率明顯惡化係指損失率持續超過百分之百或依其惡化趨勢預估損失率可能超過百分之百。</w:t>
            </w:r>
          </w:p>
        </w:tc>
        <w:tc>
          <w:tcPr>
            <w:tcW w:w="3628" w:type="dxa"/>
          </w:tcPr>
          <w:p w:rsidR="00504DD8" w:rsidRPr="00390130" w:rsidRDefault="00504DD8" w:rsidP="00390130">
            <w:pPr>
              <w:kinsoku w:val="0"/>
              <w:overflowPunct w:val="0"/>
              <w:spacing w:line="440" w:lineRule="exact"/>
              <w:ind w:left="1440" w:hangingChars="600" w:hanging="1440"/>
              <w:jc w:val="both"/>
              <w:textAlignment w:val="center"/>
              <w:rPr>
                <w:rFonts w:eastAsia="標楷體"/>
              </w:rPr>
            </w:pPr>
            <w:r w:rsidRPr="00390130">
              <w:rPr>
                <w:rFonts w:eastAsia="標楷體"/>
              </w:rPr>
              <w:lastRenderedPageBreak/>
              <w:t>六十三之二、簽證精算人員應單獨針對長年期健康保險之準備金適足性適當表達精算意見，至少應包含下列各款：</w:t>
            </w:r>
          </w:p>
          <w:p w:rsidR="00504DD8" w:rsidRPr="00390130" w:rsidRDefault="001929ED" w:rsidP="001929ED">
            <w:pPr>
              <w:kinsoku w:val="0"/>
              <w:overflowPunct w:val="0"/>
              <w:spacing w:line="420" w:lineRule="exact"/>
              <w:ind w:leftChars="600" w:left="1872" w:hangingChars="180" w:hanging="432"/>
              <w:jc w:val="both"/>
              <w:textAlignment w:val="center"/>
              <w:rPr>
                <w:rFonts w:eastAsia="標楷體"/>
              </w:rPr>
            </w:pPr>
            <w:r>
              <w:rPr>
                <w:rFonts w:eastAsia="標楷體" w:hint="eastAsia"/>
              </w:rPr>
              <w:t>(</w:t>
            </w:r>
            <w:r w:rsidR="00504DD8" w:rsidRPr="00390130">
              <w:rPr>
                <w:rFonts w:eastAsia="標楷體"/>
              </w:rPr>
              <w:t>一</w:t>
            </w:r>
            <w:r>
              <w:rPr>
                <w:rFonts w:eastAsia="標楷體" w:hint="eastAsia"/>
              </w:rPr>
              <w:t>)</w:t>
            </w:r>
            <w:r w:rsidR="00504DD8" w:rsidRPr="00390130">
              <w:rPr>
                <w:rFonts w:eastAsia="標楷體"/>
              </w:rPr>
              <w:t>分析說明銷售中長年期健康險保險商品之損失率，針對損失率明顯惡化但公司仍在不調整費率下繼續銷售之個別商品，若有準備金不適足者，應提供簽署公司達準備金適足性標準所需立即增提之準備金金額。</w:t>
            </w:r>
          </w:p>
          <w:p w:rsidR="00504DD8" w:rsidRPr="00390130" w:rsidRDefault="001929ED" w:rsidP="001929ED">
            <w:pPr>
              <w:kinsoku w:val="0"/>
              <w:overflowPunct w:val="0"/>
              <w:spacing w:line="420" w:lineRule="exact"/>
              <w:ind w:leftChars="600" w:left="1872" w:hangingChars="180" w:hanging="432"/>
              <w:jc w:val="both"/>
              <w:textAlignment w:val="center"/>
              <w:rPr>
                <w:rFonts w:eastAsia="標楷體"/>
              </w:rPr>
            </w:pPr>
            <w:r>
              <w:rPr>
                <w:rFonts w:eastAsia="標楷體" w:hint="eastAsia"/>
              </w:rPr>
              <w:t>(</w:t>
            </w:r>
            <w:r w:rsidR="00504DD8" w:rsidRPr="00390130">
              <w:rPr>
                <w:rFonts w:eastAsia="標楷體"/>
              </w:rPr>
              <w:t>二</w:t>
            </w:r>
            <w:r>
              <w:rPr>
                <w:rFonts w:eastAsia="標楷體" w:hint="eastAsia"/>
              </w:rPr>
              <w:t>)</w:t>
            </w:r>
            <w:r w:rsidR="00504DD8" w:rsidRPr="00390130">
              <w:rPr>
                <w:rFonts w:eastAsia="標楷體"/>
              </w:rPr>
              <w:t>針對損失率明顯惡化之長年期健康保險商品，應提具準備金監控機制，該監控機制應考量商品風險特性之異同後訂定，若準</w:t>
            </w:r>
            <w:r w:rsidR="00504DD8" w:rsidRPr="00390130">
              <w:rPr>
                <w:rFonts w:eastAsia="標楷體"/>
              </w:rPr>
              <w:lastRenderedPageBreak/>
              <w:t>備金測試結果超過監控標準時，應提供簽署公司達準備金適足性標準所需立即增提之準備金金額。</w:t>
            </w:r>
          </w:p>
        </w:tc>
        <w:tc>
          <w:tcPr>
            <w:tcW w:w="2154" w:type="dxa"/>
          </w:tcPr>
          <w:p w:rsidR="00504DD8" w:rsidRPr="00390130" w:rsidRDefault="00504DD8" w:rsidP="001929ED">
            <w:pPr>
              <w:kinsoku w:val="0"/>
              <w:overflowPunct w:val="0"/>
              <w:spacing w:line="440" w:lineRule="exact"/>
              <w:jc w:val="both"/>
              <w:textAlignment w:val="center"/>
              <w:rPr>
                <w:rFonts w:eastAsia="標楷體"/>
              </w:rPr>
            </w:pPr>
            <w:r w:rsidRPr="00390130">
              <w:rPr>
                <w:rFonts w:eastAsia="標楷體"/>
              </w:rPr>
              <w:lastRenderedPageBreak/>
              <w:t>配合刪除第</w:t>
            </w:r>
            <w:r w:rsidRPr="00390130">
              <w:rPr>
                <w:rFonts w:eastAsia="標楷體"/>
              </w:rPr>
              <w:t>28-1</w:t>
            </w:r>
            <w:r w:rsidR="001929ED">
              <w:rPr>
                <w:rFonts w:eastAsia="標楷體" w:hint="eastAsia"/>
              </w:rPr>
              <w:t>點</w:t>
            </w:r>
            <w:r w:rsidRPr="00390130">
              <w:rPr>
                <w:rFonts w:eastAsia="標楷體"/>
              </w:rPr>
              <w:t>，新增「損失率明顯惡化」之相關說明。</w:t>
            </w:r>
          </w:p>
        </w:tc>
      </w:tr>
      <w:tr w:rsidR="00390130" w:rsidRPr="00390130" w:rsidTr="00390130">
        <w:trPr>
          <w:trHeight w:val="20"/>
        </w:trPr>
        <w:tc>
          <w:tcPr>
            <w:tcW w:w="3628" w:type="dxa"/>
          </w:tcPr>
          <w:p w:rsidR="00E9694D" w:rsidRPr="00390130" w:rsidRDefault="00E9694D" w:rsidP="00390130">
            <w:pPr>
              <w:kinsoku w:val="0"/>
              <w:overflowPunct w:val="0"/>
              <w:spacing w:line="440" w:lineRule="exact"/>
              <w:ind w:left="1440" w:hangingChars="600" w:hanging="1440"/>
              <w:jc w:val="both"/>
              <w:textAlignment w:val="center"/>
              <w:rPr>
                <w:rFonts w:eastAsia="標楷體"/>
              </w:rPr>
            </w:pPr>
            <w:r w:rsidRPr="00390130">
              <w:rPr>
                <w:rFonts w:eastAsia="標楷體"/>
              </w:rPr>
              <w:lastRenderedPageBreak/>
              <w:t>第十章、其他</w:t>
            </w:r>
          </w:p>
        </w:tc>
        <w:tc>
          <w:tcPr>
            <w:tcW w:w="3628" w:type="dxa"/>
          </w:tcPr>
          <w:p w:rsidR="00E9694D" w:rsidRPr="00390130" w:rsidRDefault="00E9694D" w:rsidP="00390130">
            <w:pPr>
              <w:kinsoku w:val="0"/>
              <w:overflowPunct w:val="0"/>
              <w:spacing w:line="440" w:lineRule="exact"/>
              <w:ind w:left="1440" w:hangingChars="600" w:hanging="1440"/>
              <w:jc w:val="both"/>
              <w:textAlignment w:val="center"/>
              <w:rPr>
                <w:rFonts w:eastAsia="標楷體"/>
              </w:rPr>
            </w:pPr>
            <w:r w:rsidRPr="00390130">
              <w:rPr>
                <w:rFonts w:eastAsia="標楷體"/>
              </w:rPr>
              <w:t>第十章、其他</w:t>
            </w:r>
          </w:p>
        </w:tc>
        <w:tc>
          <w:tcPr>
            <w:tcW w:w="2154" w:type="dxa"/>
          </w:tcPr>
          <w:p w:rsidR="00E9694D" w:rsidRPr="00390130" w:rsidRDefault="00E9694D" w:rsidP="00390130">
            <w:pPr>
              <w:kinsoku w:val="0"/>
              <w:overflowPunct w:val="0"/>
              <w:spacing w:line="440" w:lineRule="exact"/>
              <w:jc w:val="both"/>
              <w:textAlignment w:val="center"/>
              <w:rPr>
                <w:rFonts w:eastAsia="標楷體"/>
              </w:rPr>
            </w:pPr>
          </w:p>
        </w:tc>
      </w:tr>
      <w:tr w:rsidR="00390130" w:rsidRPr="00390130" w:rsidTr="00390130">
        <w:trPr>
          <w:trHeight w:val="20"/>
        </w:trPr>
        <w:tc>
          <w:tcPr>
            <w:tcW w:w="3628" w:type="dxa"/>
          </w:tcPr>
          <w:p w:rsidR="00ED57AC" w:rsidRPr="00390130" w:rsidRDefault="00ED57AC" w:rsidP="00390130">
            <w:pPr>
              <w:kinsoku w:val="0"/>
              <w:overflowPunct w:val="0"/>
              <w:spacing w:line="440" w:lineRule="exact"/>
              <w:ind w:left="960" w:hangingChars="400" w:hanging="960"/>
              <w:jc w:val="both"/>
              <w:textAlignment w:val="center"/>
              <w:rPr>
                <w:rFonts w:eastAsia="標楷體"/>
              </w:rPr>
            </w:pPr>
            <w:r w:rsidRPr="00390130">
              <w:rPr>
                <w:rFonts w:eastAsia="標楷體"/>
              </w:rPr>
              <w:t>六十七、簽證精算人員應檢附精算意見書、精算備忘錄及主管機關規定格式之指定附表</w:t>
            </w:r>
            <w:r w:rsidRPr="00390130">
              <w:rPr>
                <w:rFonts w:eastAsia="標楷體"/>
                <w:u w:val="single"/>
              </w:rPr>
              <w:t>各一份</w:t>
            </w:r>
            <w:r w:rsidRPr="00390130">
              <w:rPr>
                <w:rFonts w:eastAsia="標楷體"/>
              </w:rPr>
              <w:t>暨光碟片乙份</w:t>
            </w:r>
            <w:r w:rsidR="001929ED">
              <w:rPr>
                <w:rFonts w:eastAsia="標楷體" w:hint="eastAsia"/>
              </w:rPr>
              <w:t>(</w:t>
            </w:r>
            <w:r w:rsidRPr="00390130">
              <w:rPr>
                <w:rFonts w:eastAsia="標楷體"/>
                <w:u w:val="single"/>
              </w:rPr>
              <w:t>意見書及</w:t>
            </w:r>
            <w:r w:rsidRPr="00390130">
              <w:rPr>
                <w:rFonts w:eastAsia="標楷體"/>
              </w:rPr>
              <w:t>指定附表僅需提供電子檔案</w:t>
            </w:r>
            <w:r w:rsidR="001929ED">
              <w:rPr>
                <w:rFonts w:eastAsia="標楷體" w:hint="eastAsia"/>
              </w:rPr>
              <w:t>)</w:t>
            </w:r>
            <w:r w:rsidRPr="00390130">
              <w:rPr>
                <w:rFonts w:eastAsia="標楷體"/>
              </w:rPr>
              <w:t>報送主管機關備查，其中光碟片內容應含可搜尋關鍵字及複製內容之精算意見書及精算備忘錄的</w:t>
            </w:r>
            <w:r w:rsidRPr="00390130">
              <w:rPr>
                <w:rFonts w:eastAsia="標楷體"/>
              </w:rPr>
              <w:t>WORD</w:t>
            </w:r>
            <w:r w:rsidRPr="00390130">
              <w:rPr>
                <w:rFonts w:eastAsia="標楷體"/>
              </w:rPr>
              <w:t>檔案</w:t>
            </w:r>
            <w:r w:rsidR="001929ED">
              <w:rPr>
                <w:rFonts w:eastAsia="標楷體" w:hint="eastAsia"/>
              </w:rPr>
              <w:t>(</w:t>
            </w:r>
            <w:r w:rsidRPr="00390130">
              <w:rPr>
                <w:rFonts w:eastAsia="標楷體"/>
              </w:rPr>
              <w:t>DOC</w:t>
            </w:r>
            <w:r w:rsidRPr="00390130">
              <w:rPr>
                <w:rFonts w:eastAsia="標楷體"/>
              </w:rPr>
              <w:t>或</w:t>
            </w:r>
            <w:r w:rsidRPr="00390130">
              <w:rPr>
                <w:rFonts w:eastAsia="標楷體"/>
              </w:rPr>
              <w:t>DOCX</w:t>
            </w:r>
            <w:r w:rsidRPr="00390130">
              <w:rPr>
                <w:rFonts w:eastAsia="標楷體"/>
              </w:rPr>
              <w:t>格式</w:t>
            </w:r>
            <w:r w:rsidR="001929ED">
              <w:rPr>
                <w:rFonts w:eastAsia="標楷體" w:hint="eastAsia"/>
              </w:rPr>
              <w:t>)</w:t>
            </w:r>
            <w:r w:rsidRPr="00390130">
              <w:rPr>
                <w:rFonts w:eastAsia="標楷體"/>
              </w:rPr>
              <w:t>以及精算備忘錄指定附表之</w:t>
            </w:r>
            <w:r w:rsidRPr="00390130">
              <w:rPr>
                <w:rFonts w:eastAsia="標楷體"/>
              </w:rPr>
              <w:t>EXCEL</w:t>
            </w:r>
            <w:r w:rsidRPr="00390130">
              <w:rPr>
                <w:rFonts w:eastAsia="標楷體"/>
              </w:rPr>
              <w:t>檔案</w:t>
            </w:r>
            <w:r w:rsidR="001929ED">
              <w:rPr>
                <w:rFonts w:eastAsia="標楷體" w:hint="eastAsia"/>
              </w:rPr>
              <w:t>(</w:t>
            </w:r>
            <w:r w:rsidRPr="00390130">
              <w:rPr>
                <w:rFonts w:eastAsia="標楷體"/>
              </w:rPr>
              <w:t>XLS</w:t>
            </w:r>
            <w:r w:rsidRPr="00390130">
              <w:rPr>
                <w:rFonts w:eastAsia="標楷體"/>
              </w:rPr>
              <w:lastRenderedPageBreak/>
              <w:t>或</w:t>
            </w:r>
            <w:r w:rsidRPr="00390130">
              <w:rPr>
                <w:rFonts w:eastAsia="標楷體"/>
              </w:rPr>
              <w:t>XLSX</w:t>
            </w:r>
            <w:r w:rsidRPr="00390130">
              <w:rPr>
                <w:rFonts w:eastAsia="標楷體"/>
              </w:rPr>
              <w:t>格式</w:t>
            </w:r>
            <w:r w:rsidR="001929ED">
              <w:rPr>
                <w:rFonts w:eastAsia="標楷體" w:hint="eastAsia"/>
              </w:rPr>
              <w:t>)</w:t>
            </w:r>
            <w:r w:rsidRPr="00390130">
              <w:rPr>
                <w:rFonts w:eastAsia="標楷體"/>
              </w:rPr>
              <w:t>，所有檔案名稱應標示公司名稱及年度。</w:t>
            </w:r>
            <w:r w:rsidRPr="00390130">
              <w:rPr>
                <w:rFonts w:eastAsia="標楷體"/>
                <w:u w:val="single"/>
              </w:rPr>
              <w:t>另若光碟片內容之文字、數值及表格以圖片檔或掃描檔呈現時，應檢附相應之</w:t>
            </w:r>
            <w:r w:rsidRPr="00390130">
              <w:rPr>
                <w:rFonts w:eastAsia="標楷體"/>
                <w:u w:val="single"/>
              </w:rPr>
              <w:t>EXCEL</w:t>
            </w:r>
            <w:r w:rsidRPr="00390130">
              <w:rPr>
                <w:rFonts w:eastAsia="標楷體"/>
                <w:u w:val="single"/>
              </w:rPr>
              <w:t>檔案並於備忘錄中載明參照方式。</w:t>
            </w:r>
          </w:p>
          <w:p w:rsidR="00ED57AC" w:rsidRPr="00390130" w:rsidRDefault="00ED57AC" w:rsidP="00390130">
            <w:pPr>
              <w:kinsoku w:val="0"/>
              <w:overflowPunct w:val="0"/>
              <w:spacing w:line="440" w:lineRule="exact"/>
              <w:ind w:leftChars="400" w:left="960"/>
              <w:jc w:val="both"/>
              <w:textAlignment w:val="center"/>
              <w:rPr>
                <w:rFonts w:eastAsia="標楷體"/>
              </w:rPr>
            </w:pPr>
            <w:r w:rsidRPr="00390130">
              <w:rPr>
                <w:rFonts w:eastAsia="標楷體"/>
              </w:rPr>
              <w:t>前項指定附表應依主管機關指定之格式及編排方式提供，除附表之說明部分得由簽證精算人員自行酌修外，其餘不得任意調整或刪除。</w:t>
            </w:r>
          </w:p>
          <w:p w:rsidR="00E9694D" w:rsidRPr="00390130" w:rsidRDefault="00ED57AC" w:rsidP="00390130">
            <w:pPr>
              <w:kinsoku w:val="0"/>
              <w:overflowPunct w:val="0"/>
              <w:spacing w:line="440" w:lineRule="exact"/>
              <w:ind w:leftChars="400" w:left="960"/>
              <w:jc w:val="both"/>
              <w:textAlignment w:val="center"/>
              <w:rPr>
                <w:rFonts w:eastAsia="標楷體"/>
              </w:rPr>
            </w:pPr>
            <w:r w:rsidRPr="00390130">
              <w:rPr>
                <w:rFonts w:eastAsia="標楷體"/>
              </w:rPr>
              <w:t>簽證精算人員檢附商品送審相關文件者，得僅提供電子檔案。</w:t>
            </w:r>
          </w:p>
        </w:tc>
        <w:tc>
          <w:tcPr>
            <w:tcW w:w="3628" w:type="dxa"/>
          </w:tcPr>
          <w:p w:rsidR="00E9694D" w:rsidRPr="00390130" w:rsidRDefault="00E9694D" w:rsidP="00390130">
            <w:pPr>
              <w:kinsoku w:val="0"/>
              <w:overflowPunct w:val="0"/>
              <w:spacing w:line="440" w:lineRule="exact"/>
              <w:ind w:left="960" w:hangingChars="400" w:hanging="960"/>
              <w:jc w:val="both"/>
              <w:textAlignment w:val="center"/>
              <w:rPr>
                <w:rFonts w:eastAsia="標楷體"/>
              </w:rPr>
            </w:pPr>
            <w:r w:rsidRPr="00390130">
              <w:rPr>
                <w:rFonts w:eastAsia="標楷體"/>
              </w:rPr>
              <w:lastRenderedPageBreak/>
              <w:t>六十七、簽證精算人員應檢附精算意見書、精算備忘錄及主管機關規定格式之指定附表</w:t>
            </w:r>
            <w:r w:rsidRPr="00390130">
              <w:rPr>
                <w:rFonts w:eastAsia="標楷體"/>
                <w:u w:val="single"/>
              </w:rPr>
              <w:t>各二份</w:t>
            </w:r>
            <w:r w:rsidRPr="00390130">
              <w:rPr>
                <w:rFonts w:eastAsia="標楷體"/>
              </w:rPr>
              <w:t>暨光碟片乙份</w:t>
            </w:r>
            <w:r w:rsidR="001929ED">
              <w:rPr>
                <w:rFonts w:eastAsia="標楷體" w:hint="eastAsia"/>
              </w:rPr>
              <w:t>(</w:t>
            </w:r>
            <w:r w:rsidRPr="00390130">
              <w:rPr>
                <w:rFonts w:eastAsia="標楷體"/>
              </w:rPr>
              <w:t>指定附表僅需提供電子檔案</w:t>
            </w:r>
            <w:r w:rsidR="001929ED">
              <w:rPr>
                <w:rFonts w:eastAsia="標楷體" w:hint="eastAsia"/>
              </w:rPr>
              <w:t>)</w:t>
            </w:r>
            <w:r w:rsidRPr="00390130">
              <w:rPr>
                <w:rFonts w:eastAsia="標楷體"/>
              </w:rPr>
              <w:t>報送主管機關備查，其中光碟片內容</w:t>
            </w:r>
            <w:r w:rsidRPr="00390130">
              <w:rPr>
                <w:rFonts w:eastAsia="標楷體"/>
                <w:u w:val="single"/>
              </w:rPr>
              <w:t>之文字、數值及表格不得以圖片檔或掃描檔呈現，</w:t>
            </w:r>
            <w:r w:rsidRPr="00390130">
              <w:rPr>
                <w:rFonts w:eastAsia="標楷體"/>
              </w:rPr>
              <w:t>應含可搜尋關鍵字及複製內容之精算意見書及精算備忘錄的</w:t>
            </w:r>
            <w:r w:rsidRPr="00390130">
              <w:rPr>
                <w:rFonts w:eastAsia="標楷體"/>
              </w:rPr>
              <w:t>WORD</w:t>
            </w:r>
            <w:r w:rsidRPr="00390130">
              <w:rPr>
                <w:rFonts w:eastAsia="標楷體"/>
              </w:rPr>
              <w:t>檔案</w:t>
            </w:r>
            <w:r w:rsidR="001929ED">
              <w:rPr>
                <w:rFonts w:eastAsia="標楷體" w:hint="eastAsia"/>
              </w:rPr>
              <w:t>(</w:t>
            </w:r>
            <w:r w:rsidRPr="00390130">
              <w:rPr>
                <w:rFonts w:eastAsia="標楷體"/>
              </w:rPr>
              <w:t>DOC</w:t>
            </w:r>
            <w:r w:rsidRPr="00390130">
              <w:rPr>
                <w:rFonts w:eastAsia="標楷體"/>
              </w:rPr>
              <w:t>或</w:t>
            </w:r>
            <w:r w:rsidRPr="00390130">
              <w:rPr>
                <w:rFonts w:eastAsia="標楷體"/>
              </w:rPr>
              <w:t>DOCX</w:t>
            </w:r>
            <w:r w:rsidRPr="00390130">
              <w:rPr>
                <w:rFonts w:eastAsia="標楷體"/>
              </w:rPr>
              <w:t>格式</w:t>
            </w:r>
            <w:r w:rsidR="001929ED">
              <w:rPr>
                <w:rFonts w:eastAsia="標楷體" w:hint="eastAsia"/>
              </w:rPr>
              <w:t>)</w:t>
            </w:r>
            <w:r w:rsidRPr="00390130">
              <w:rPr>
                <w:rFonts w:eastAsia="標楷體"/>
              </w:rPr>
              <w:t>以及精</w:t>
            </w:r>
            <w:r w:rsidRPr="00390130">
              <w:rPr>
                <w:rFonts w:eastAsia="標楷體"/>
              </w:rPr>
              <w:lastRenderedPageBreak/>
              <w:t>算備忘錄指定附表之</w:t>
            </w:r>
            <w:r w:rsidRPr="00390130">
              <w:rPr>
                <w:rFonts w:eastAsia="標楷體"/>
              </w:rPr>
              <w:t>EXCEL</w:t>
            </w:r>
            <w:r w:rsidRPr="00390130">
              <w:rPr>
                <w:rFonts w:eastAsia="標楷體"/>
              </w:rPr>
              <w:t>檔案</w:t>
            </w:r>
            <w:r w:rsidR="001929ED">
              <w:rPr>
                <w:rFonts w:eastAsia="標楷體" w:hint="eastAsia"/>
              </w:rPr>
              <w:t>(</w:t>
            </w:r>
            <w:r w:rsidRPr="00390130">
              <w:rPr>
                <w:rFonts w:eastAsia="標楷體"/>
              </w:rPr>
              <w:t>XLS</w:t>
            </w:r>
            <w:r w:rsidRPr="00390130">
              <w:rPr>
                <w:rFonts w:eastAsia="標楷體"/>
              </w:rPr>
              <w:t>或</w:t>
            </w:r>
            <w:r w:rsidRPr="00390130">
              <w:rPr>
                <w:rFonts w:eastAsia="標楷體"/>
              </w:rPr>
              <w:t>XLSX</w:t>
            </w:r>
            <w:r w:rsidRPr="00390130">
              <w:rPr>
                <w:rFonts w:eastAsia="標楷體"/>
              </w:rPr>
              <w:t>格式</w:t>
            </w:r>
            <w:r w:rsidR="001929ED">
              <w:rPr>
                <w:rFonts w:eastAsia="標楷體" w:hint="eastAsia"/>
              </w:rPr>
              <w:t>)</w:t>
            </w:r>
            <w:r w:rsidRPr="00390130">
              <w:rPr>
                <w:rFonts w:eastAsia="標楷體"/>
              </w:rPr>
              <w:t>，所有檔案名稱應標示公司名稱及年度。</w:t>
            </w:r>
          </w:p>
          <w:p w:rsidR="00ED57AC" w:rsidRPr="00390130" w:rsidRDefault="00ED57AC" w:rsidP="00390130">
            <w:pPr>
              <w:kinsoku w:val="0"/>
              <w:overflowPunct w:val="0"/>
              <w:spacing w:line="440" w:lineRule="exact"/>
              <w:ind w:left="960" w:hangingChars="400" w:hanging="960"/>
              <w:jc w:val="both"/>
              <w:textAlignment w:val="center"/>
              <w:rPr>
                <w:rFonts w:eastAsia="標楷體"/>
              </w:rPr>
            </w:pPr>
          </w:p>
          <w:p w:rsidR="00ED57AC" w:rsidRPr="00390130" w:rsidRDefault="00ED57AC" w:rsidP="00390130">
            <w:pPr>
              <w:kinsoku w:val="0"/>
              <w:overflowPunct w:val="0"/>
              <w:spacing w:line="440" w:lineRule="exact"/>
              <w:ind w:left="960" w:hangingChars="400" w:hanging="960"/>
              <w:jc w:val="both"/>
              <w:textAlignment w:val="center"/>
              <w:rPr>
                <w:rFonts w:eastAsia="標楷體"/>
              </w:rPr>
            </w:pPr>
          </w:p>
          <w:p w:rsidR="00ED57AC" w:rsidRPr="00390130" w:rsidRDefault="00ED57AC" w:rsidP="00390130">
            <w:pPr>
              <w:kinsoku w:val="0"/>
              <w:overflowPunct w:val="0"/>
              <w:spacing w:line="440" w:lineRule="exact"/>
              <w:ind w:left="960" w:hangingChars="400" w:hanging="960"/>
              <w:jc w:val="both"/>
              <w:textAlignment w:val="center"/>
              <w:rPr>
                <w:rFonts w:eastAsia="標楷體"/>
              </w:rPr>
            </w:pPr>
          </w:p>
          <w:p w:rsidR="00E9694D" w:rsidRPr="00390130" w:rsidRDefault="00E9694D" w:rsidP="00390130">
            <w:pPr>
              <w:kinsoku w:val="0"/>
              <w:overflowPunct w:val="0"/>
              <w:spacing w:line="440" w:lineRule="exact"/>
              <w:ind w:leftChars="400" w:left="960"/>
              <w:jc w:val="both"/>
              <w:textAlignment w:val="center"/>
              <w:rPr>
                <w:rFonts w:eastAsia="標楷體"/>
              </w:rPr>
            </w:pPr>
            <w:r w:rsidRPr="00390130">
              <w:rPr>
                <w:rFonts w:eastAsia="標楷體"/>
              </w:rPr>
              <w:t>前項指定附表應依主管機關指定之格式及編排方式提供，除附表之說明部分得由簽證精算人員自行酌修外，其餘不得任意調整或刪除。</w:t>
            </w:r>
          </w:p>
          <w:p w:rsidR="00E9694D" w:rsidRPr="00390130" w:rsidRDefault="00E9694D" w:rsidP="00390130">
            <w:pPr>
              <w:kinsoku w:val="0"/>
              <w:overflowPunct w:val="0"/>
              <w:spacing w:line="440" w:lineRule="exact"/>
              <w:ind w:leftChars="400" w:left="960"/>
              <w:jc w:val="both"/>
              <w:textAlignment w:val="center"/>
              <w:rPr>
                <w:rFonts w:eastAsia="標楷體"/>
              </w:rPr>
            </w:pPr>
            <w:r w:rsidRPr="00390130">
              <w:rPr>
                <w:rFonts w:eastAsia="標楷體"/>
              </w:rPr>
              <w:t>簽證精算人員檢附商品送審相關文件者，得僅提供電子檔案。</w:t>
            </w:r>
          </w:p>
        </w:tc>
        <w:tc>
          <w:tcPr>
            <w:tcW w:w="2154" w:type="dxa"/>
          </w:tcPr>
          <w:p w:rsidR="00E9694D" w:rsidRPr="00390130" w:rsidRDefault="00F93486" w:rsidP="00270A34">
            <w:pPr>
              <w:kinsoku w:val="0"/>
              <w:overflowPunct w:val="0"/>
              <w:spacing w:line="440" w:lineRule="exact"/>
              <w:jc w:val="both"/>
              <w:textAlignment w:val="center"/>
              <w:rPr>
                <w:rFonts w:eastAsia="標楷體"/>
              </w:rPr>
            </w:pPr>
            <w:r w:rsidRPr="00390130">
              <w:rPr>
                <w:rFonts w:eastAsia="標楷體"/>
              </w:rPr>
              <w:lastRenderedPageBreak/>
              <w:t>為</w:t>
            </w:r>
            <w:r w:rsidR="007F25A6" w:rsidRPr="00390130">
              <w:rPr>
                <w:rFonts w:eastAsia="標楷體"/>
              </w:rPr>
              <w:t>簡化簽證作業並落實節能減碳，</w:t>
            </w:r>
            <w:r w:rsidR="006556E5">
              <w:rPr>
                <w:rFonts w:eastAsia="標楷體" w:hint="eastAsia"/>
              </w:rPr>
              <w:t>修正報送主管機關資料之份數、精算意見書改提供電子檔，並</w:t>
            </w:r>
            <w:r w:rsidR="007F25A6" w:rsidRPr="00390130">
              <w:rPr>
                <w:rFonts w:eastAsia="標楷體"/>
              </w:rPr>
              <w:t>修改</w:t>
            </w:r>
            <w:r w:rsidR="006556E5">
              <w:rPr>
                <w:rFonts w:eastAsia="標楷體" w:hint="eastAsia"/>
              </w:rPr>
              <w:t>光碟片中電子檔</w:t>
            </w:r>
            <w:r w:rsidR="00270A34">
              <w:rPr>
                <w:rFonts w:eastAsia="標楷體" w:hint="eastAsia"/>
              </w:rPr>
              <w:t>內容</w:t>
            </w:r>
            <w:r w:rsidR="006556E5">
              <w:rPr>
                <w:rFonts w:eastAsia="標楷體" w:hint="eastAsia"/>
              </w:rPr>
              <w:t>之</w:t>
            </w:r>
            <w:r w:rsidR="00270A34">
              <w:rPr>
                <w:rFonts w:eastAsia="標楷體" w:hint="eastAsia"/>
              </w:rPr>
              <w:t>提供方式，俾利後續審查</w:t>
            </w:r>
            <w:r w:rsidR="007F25A6" w:rsidRPr="00390130">
              <w:rPr>
                <w:rFonts w:eastAsia="標楷體"/>
              </w:rPr>
              <w:t>。</w:t>
            </w:r>
          </w:p>
        </w:tc>
      </w:tr>
      <w:tr w:rsidR="00390130" w:rsidRPr="00390130" w:rsidTr="00390130">
        <w:trPr>
          <w:trHeight w:val="20"/>
        </w:trPr>
        <w:tc>
          <w:tcPr>
            <w:tcW w:w="3628" w:type="dxa"/>
          </w:tcPr>
          <w:p w:rsidR="00850922" w:rsidRPr="00390130" w:rsidRDefault="00850922" w:rsidP="00390130">
            <w:pPr>
              <w:kinsoku w:val="0"/>
              <w:overflowPunct w:val="0"/>
              <w:spacing w:line="440" w:lineRule="exact"/>
              <w:ind w:left="720" w:hangingChars="300" w:hanging="720"/>
              <w:jc w:val="both"/>
              <w:textAlignment w:val="center"/>
              <w:rPr>
                <w:rFonts w:eastAsia="標楷體"/>
              </w:rPr>
            </w:pPr>
            <w:r w:rsidRPr="00390130">
              <w:rPr>
                <w:rFonts w:eastAsia="標楷體"/>
              </w:rPr>
              <w:lastRenderedPageBreak/>
              <w:t>七十、簽證精算人員對其簽署精算報告之各項數值應審慎檢視，如有顯著異常者，主管機關得視情節輕重，要求公司委託外部專業機構重出報告，或進行專案檢查。</w:t>
            </w:r>
          </w:p>
          <w:p w:rsidR="00850922" w:rsidRPr="00390130" w:rsidRDefault="00850922" w:rsidP="00390130">
            <w:pPr>
              <w:kinsoku w:val="0"/>
              <w:overflowPunct w:val="0"/>
              <w:spacing w:line="440" w:lineRule="exact"/>
              <w:ind w:leftChars="300" w:left="720"/>
              <w:jc w:val="both"/>
              <w:textAlignment w:val="center"/>
              <w:rPr>
                <w:rFonts w:eastAsia="標楷體"/>
                <w:u w:val="single"/>
              </w:rPr>
            </w:pPr>
          </w:p>
        </w:tc>
        <w:tc>
          <w:tcPr>
            <w:tcW w:w="3628" w:type="dxa"/>
          </w:tcPr>
          <w:p w:rsidR="00850922" w:rsidRPr="00390130" w:rsidRDefault="00850922" w:rsidP="00390130">
            <w:pPr>
              <w:kinsoku w:val="0"/>
              <w:overflowPunct w:val="0"/>
              <w:spacing w:line="440" w:lineRule="exact"/>
              <w:ind w:left="720" w:hangingChars="300" w:hanging="720"/>
              <w:jc w:val="both"/>
              <w:textAlignment w:val="center"/>
              <w:rPr>
                <w:rFonts w:eastAsia="標楷體"/>
              </w:rPr>
            </w:pPr>
            <w:r w:rsidRPr="00390130">
              <w:rPr>
                <w:rFonts w:eastAsia="標楷體"/>
              </w:rPr>
              <w:t>七十、簽證精算人員對其簽署精算報告之各項數值應審慎檢視，如有顯著異常者，主管機關得視情節輕重，要求公司委託外部專業機構重出報告，或進行專案檢查。</w:t>
            </w:r>
          </w:p>
          <w:p w:rsidR="00850922" w:rsidRPr="00390130" w:rsidRDefault="00850922" w:rsidP="00390130">
            <w:pPr>
              <w:kinsoku w:val="0"/>
              <w:overflowPunct w:val="0"/>
              <w:spacing w:line="440" w:lineRule="exact"/>
              <w:ind w:leftChars="300" w:left="720"/>
              <w:jc w:val="both"/>
              <w:textAlignment w:val="center"/>
              <w:rPr>
                <w:rFonts w:eastAsia="標楷體"/>
                <w:u w:val="single"/>
              </w:rPr>
            </w:pPr>
            <w:r w:rsidRPr="00390130">
              <w:rPr>
                <w:rFonts w:eastAsia="標楷體"/>
                <w:u w:val="single"/>
              </w:rPr>
              <w:t>公司於每年</w:t>
            </w:r>
            <w:r w:rsidRPr="00390130">
              <w:rPr>
                <w:rFonts w:eastAsia="標楷體"/>
                <w:u w:val="single"/>
              </w:rPr>
              <w:t>6</w:t>
            </w:r>
            <w:r w:rsidRPr="00390130">
              <w:rPr>
                <w:rFonts w:eastAsia="標楷體"/>
                <w:u w:val="single"/>
              </w:rPr>
              <w:t>月底之資本適足率如有未達百分之二百，則應委託外部專業機構獨立製作精算簽證報告。</w:t>
            </w:r>
          </w:p>
        </w:tc>
        <w:tc>
          <w:tcPr>
            <w:tcW w:w="2154" w:type="dxa"/>
          </w:tcPr>
          <w:p w:rsidR="00850922" w:rsidRPr="00270A34" w:rsidRDefault="00270A34" w:rsidP="00BC0F90">
            <w:pPr>
              <w:kinsoku w:val="0"/>
              <w:overflowPunct w:val="0"/>
              <w:spacing w:line="440" w:lineRule="exact"/>
              <w:jc w:val="both"/>
              <w:textAlignment w:val="center"/>
              <w:rPr>
                <w:rFonts w:eastAsia="標楷體"/>
              </w:rPr>
            </w:pPr>
            <w:r w:rsidRPr="00270A34">
              <w:rPr>
                <w:rFonts w:eastAsia="標楷體"/>
              </w:rPr>
              <w:t>考量外部複核制度已全面實施，且</w:t>
            </w:r>
            <w:r w:rsidR="00BC0F90">
              <w:rPr>
                <w:rFonts w:eastAsia="標楷體" w:hint="eastAsia"/>
              </w:rPr>
              <w:t>依</w:t>
            </w:r>
            <w:r w:rsidRPr="00270A34">
              <w:rPr>
                <w:rFonts w:eastAsia="標楷體"/>
              </w:rPr>
              <w:t>「保險業簽證精算人員及外部複核精算人員管理辦法」規定，「最近二年度自有資本與風險資本之比率低於百分之二百者，應每年進行複核作業」，</w:t>
            </w:r>
            <w:r w:rsidR="00BC0F90">
              <w:rPr>
                <w:rFonts w:eastAsia="標楷體" w:hint="eastAsia"/>
              </w:rPr>
              <w:t>以</w:t>
            </w:r>
            <w:r w:rsidRPr="00270A34">
              <w:rPr>
                <w:rFonts w:eastAsia="標楷體"/>
              </w:rPr>
              <w:t>強化各公司自行製作簽證精算報告之能力，爰刪除</w:t>
            </w:r>
            <w:r>
              <w:rPr>
                <w:rFonts w:eastAsia="標楷體" w:hint="eastAsia"/>
              </w:rPr>
              <w:lastRenderedPageBreak/>
              <w:t>第二項</w:t>
            </w:r>
            <w:r w:rsidRPr="00270A34">
              <w:rPr>
                <w:rFonts w:eastAsia="標楷體"/>
              </w:rPr>
              <w:t>委託外部專業機構獨立製作精算簽證報告之要求。</w:t>
            </w:r>
          </w:p>
        </w:tc>
      </w:tr>
    </w:tbl>
    <w:p w:rsidR="004F7516" w:rsidRPr="00EC6349" w:rsidRDefault="004F7516" w:rsidP="005A4E9B">
      <w:pPr>
        <w:kinsoku w:val="0"/>
        <w:overflowPunct w:val="0"/>
        <w:spacing w:line="20" w:lineRule="atLeast"/>
        <w:textAlignment w:val="center"/>
        <w:rPr>
          <w:rFonts w:ascii="Arial" w:eastAsia="標楷體" w:hAnsi="Arial" w:cs="Arial"/>
          <w:sz w:val="2"/>
          <w:szCs w:val="2"/>
        </w:rPr>
      </w:pPr>
    </w:p>
    <w:sectPr w:rsidR="004F7516" w:rsidRPr="00EC6349">
      <w:footerReference w:type="default" r:id="rId8"/>
      <w:pgSz w:w="11906" w:h="16838" w:code="9"/>
      <w:pgMar w:top="1411" w:right="1411" w:bottom="1411" w:left="1411" w:header="850"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25" w:rsidRDefault="00E07925" w:rsidP="000D04BE">
      <w:r>
        <w:separator/>
      </w:r>
    </w:p>
  </w:endnote>
  <w:endnote w:type="continuationSeparator" w:id="0">
    <w:p w:rsidR="00E07925" w:rsidRDefault="00E07925" w:rsidP="000D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43" w:rsidRPr="00D83DCB" w:rsidRDefault="0046292B">
    <w:pPr>
      <w:pStyle w:val="a3"/>
      <w:jc w:val="center"/>
      <w:rPr>
        <w:rFonts w:eastAsia="標楷體"/>
      </w:rPr>
    </w:pPr>
    <w:r w:rsidRPr="00D83DCB">
      <w:rPr>
        <w:rFonts w:eastAsia="標楷體"/>
      </w:rPr>
      <w:fldChar w:fldCharType="begin"/>
    </w:r>
    <w:r w:rsidRPr="00D83DCB">
      <w:rPr>
        <w:rFonts w:eastAsia="標楷體"/>
      </w:rPr>
      <w:instrText xml:space="preserve"> PAGE   \* MERGEFORMAT </w:instrText>
    </w:r>
    <w:r w:rsidRPr="00D83DCB">
      <w:rPr>
        <w:rFonts w:eastAsia="標楷體"/>
      </w:rPr>
      <w:fldChar w:fldCharType="separate"/>
    </w:r>
    <w:r w:rsidR="00CA6EC2" w:rsidRPr="00CA6EC2">
      <w:rPr>
        <w:rFonts w:eastAsia="標楷體"/>
        <w:noProof/>
        <w:lang w:val="zh-TW"/>
      </w:rPr>
      <w:t>1</w:t>
    </w:r>
    <w:r w:rsidRPr="00D83DCB">
      <w:rPr>
        <w:rFonts w:eastAsia="標楷體"/>
      </w:rPr>
      <w:fldChar w:fldCharType="end"/>
    </w:r>
  </w:p>
  <w:p w:rsidR="00F73A43" w:rsidRDefault="00E079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25" w:rsidRDefault="00E07925" w:rsidP="000D04BE">
      <w:r>
        <w:separator/>
      </w:r>
    </w:p>
  </w:footnote>
  <w:footnote w:type="continuationSeparator" w:id="0">
    <w:p w:rsidR="00E07925" w:rsidRDefault="00E07925" w:rsidP="000D0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art96"/>
      </v:shape>
    </w:pict>
  </w:numPicBullet>
  <w:abstractNum w:abstractNumId="0">
    <w:nsid w:val="0B2C3C64"/>
    <w:multiLevelType w:val="hybridMultilevel"/>
    <w:tmpl w:val="3D9863E4"/>
    <w:lvl w:ilvl="0" w:tplc="1DFA74EE">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B327A9"/>
    <w:multiLevelType w:val="hybridMultilevel"/>
    <w:tmpl w:val="687CD5D2"/>
    <w:lvl w:ilvl="0" w:tplc="A2123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241625"/>
    <w:multiLevelType w:val="hybridMultilevel"/>
    <w:tmpl w:val="94308FD0"/>
    <w:lvl w:ilvl="0" w:tplc="404611BA">
      <w:start w:val="1"/>
      <w:numFmt w:val="taiwaneseCountingThousand"/>
      <w:lvlText w:val="(%1)"/>
      <w:lvlJc w:val="left"/>
      <w:pPr>
        <w:ind w:left="1177" w:hanging="435"/>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
    <w:nsid w:val="6F0E2B82"/>
    <w:multiLevelType w:val="hybridMultilevel"/>
    <w:tmpl w:val="9A8EC91A"/>
    <w:lvl w:ilvl="0" w:tplc="0409000F">
      <w:start w:val="1"/>
      <w:numFmt w:val="decimal"/>
      <w:lvlText w:val="%1."/>
      <w:lvlJc w:val="left"/>
      <w:pPr>
        <w:ind w:left="442" w:hanging="480"/>
      </w:p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BD"/>
    <w:rsid w:val="00012122"/>
    <w:rsid w:val="000145E8"/>
    <w:rsid w:val="000153E1"/>
    <w:rsid w:val="00092E14"/>
    <w:rsid w:val="000A799A"/>
    <w:rsid w:val="000D04BE"/>
    <w:rsid w:val="0014083D"/>
    <w:rsid w:val="001412AC"/>
    <w:rsid w:val="00146835"/>
    <w:rsid w:val="001477B3"/>
    <w:rsid w:val="0016355E"/>
    <w:rsid w:val="001645D7"/>
    <w:rsid w:val="0017410F"/>
    <w:rsid w:val="001929ED"/>
    <w:rsid w:val="001977C2"/>
    <w:rsid w:val="001A2DE9"/>
    <w:rsid w:val="001A7726"/>
    <w:rsid w:val="001C5F60"/>
    <w:rsid w:val="001D7BC8"/>
    <w:rsid w:val="0022102F"/>
    <w:rsid w:val="002326ED"/>
    <w:rsid w:val="00236035"/>
    <w:rsid w:val="002367D8"/>
    <w:rsid w:val="0024014C"/>
    <w:rsid w:val="002664BC"/>
    <w:rsid w:val="002701E2"/>
    <w:rsid w:val="00270A34"/>
    <w:rsid w:val="002876D4"/>
    <w:rsid w:val="002C3844"/>
    <w:rsid w:val="002D29C0"/>
    <w:rsid w:val="002F632D"/>
    <w:rsid w:val="00302159"/>
    <w:rsid w:val="003540E1"/>
    <w:rsid w:val="00390130"/>
    <w:rsid w:val="003B00D4"/>
    <w:rsid w:val="003E4D77"/>
    <w:rsid w:val="00414545"/>
    <w:rsid w:val="00430A55"/>
    <w:rsid w:val="00436316"/>
    <w:rsid w:val="00452AD7"/>
    <w:rsid w:val="0046292B"/>
    <w:rsid w:val="004A67A3"/>
    <w:rsid w:val="004B49A2"/>
    <w:rsid w:val="004C0F7C"/>
    <w:rsid w:val="004C4109"/>
    <w:rsid w:val="004C54E4"/>
    <w:rsid w:val="004D6AE1"/>
    <w:rsid w:val="004D6E9C"/>
    <w:rsid w:val="004D7026"/>
    <w:rsid w:val="004F7516"/>
    <w:rsid w:val="00504DD8"/>
    <w:rsid w:val="005059A4"/>
    <w:rsid w:val="00527C56"/>
    <w:rsid w:val="005316CC"/>
    <w:rsid w:val="00547D42"/>
    <w:rsid w:val="00563CAA"/>
    <w:rsid w:val="00564DBD"/>
    <w:rsid w:val="00572AE2"/>
    <w:rsid w:val="00582DE6"/>
    <w:rsid w:val="00584CC1"/>
    <w:rsid w:val="00587C00"/>
    <w:rsid w:val="005A4E9B"/>
    <w:rsid w:val="005F18D7"/>
    <w:rsid w:val="00615678"/>
    <w:rsid w:val="00641F54"/>
    <w:rsid w:val="00652CB8"/>
    <w:rsid w:val="006556E5"/>
    <w:rsid w:val="00662B3B"/>
    <w:rsid w:val="0068636E"/>
    <w:rsid w:val="00692E79"/>
    <w:rsid w:val="006B7B1C"/>
    <w:rsid w:val="006C438D"/>
    <w:rsid w:val="006E393E"/>
    <w:rsid w:val="006F1798"/>
    <w:rsid w:val="00742FA9"/>
    <w:rsid w:val="007526AC"/>
    <w:rsid w:val="00795AE0"/>
    <w:rsid w:val="007A008E"/>
    <w:rsid w:val="007A7E53"/>
    <w:rsid w:val="007B5D71"/>
    <w:rsid w:val="007E4A19"/>
    <w:rsid w:val="007F25A6"/>
    <w:rsid w:val="007F477F"/>
    <w:rsid w:val="00847078"/>
    <w:rsid w:val="00850922"/>
    <w:rsid w:val="00860091"/>
    <w:rsid w:val="00866F61"/>
    <w:rsid w:val="00885D93"/>
    <w:rsid w:val="00890533"/>
    <w:rsid w:val="008A6C16"/>
    <w:rsid w:val="008B0148"/>
    <w:rsid w:val="008B4DA6"/>
    <w:rsid w:val="008D6301"/>
    <w:rsid w:val="008E45EC"/>
    <w:rsid w:val="008F46D8"/>
    <w:rsid w:val="009055C4"/>
    <w:rsid w:val="00920618"/>
    <w:rsid w:val="00922D00"/>
    <w:rsid w:val="00935F28"/>
    <w:rsid w:val="00940BD3"/>
    <w:rsid w:val="00954AA0"/>
    <w:rsid w:val="00971029"/>
    <w:rsid w:val="00976BC7"/>
    <w:rsid w:val="00984FC2"/>
    <w:rsid w:val="009965F0"/>
    <w:rsid w:val="009C245C"/>
    <w:rsid w:val="009D68E8"/>
    <w:rsid w:val="009D7843"/>
    <w:rsid w:val="00A131F7"/>
    <w:rsid w:val="00A32870"/>
    <w:rsid w:val="00A71D99"/>
    <w:rsid w:val="00AA151F"/>
    <w:rsid w:val="00AC6DFA"/>
    <w:rsid w:val="00B14C24"/>
    <w:rsid w:val="00B65C4C"/>
    <w:rsid w:val="00B77C05"/>
    <w:rsid w:val="00B85372"/>
    <w:rsid w:val="00B91734"/>
    <w:rsid w:val="00BA4889"/>
    <w:rsid w:val="00BA6087"/>
    <w:rsid w:val="00BC0F90"/>
    <w:rsid w:val="00BC2414"/>
    <w:rsid w:val="00BD0CA1"/>
    <w:rsid w:val="00BE7255"/>
    <w:rsid w:val="00BF4C79"/>
    <w:rsid w:val="00C10C36"/>
    <w:rsid w:val="00C22D9D"/>
    <w:rsid w:val="00C55BAB"/>
    <w:rsid w:val="00C55E41"/>
    <w:rsid w:val="00C64B10"/>
    <w:rsid w:val="00CA6EC2"/>
    <w:rsid w:val="00CA79A7"/>
    <w:rsid w:val="00CC415F"/>
    <w:rsid w:val="00CD4098"/>
    <w:rsid w:val="00D027B8"/>
    <w:rsid w:val="00D0442D"/>
    <w:rsid w:val="00D30DC9"/>
    <w:rsid w:val="00D456D0"/>
    <w:rsid w:val="00D6704D"/>
    <w:rsid w:val="00D83DCB"/>
    <w:rsid w:val="00DA511D"/>
    <w:rsid w:val="00DC6DA1"/>
    <w:rsid w:val="00DD5970"/>
    <w:rsid w:val="00DD6868"/>
    <w:rsid w:val="00DE19B3"/>
    <w:rsid w:val="00E011C9"/>
    <w:rsid w:val="00E07925"/>
    <w:rsid w:val="00E25E15"/>
    <w:rsid w:val="00E43458"/>
    <w:rsid w:val="00E9694D"/>
    <w:rsid w:val="00EB7A26"/>
    <w:rsid w:val="00EC6349"/>
    <w:rsid w:val="00ED57AC"/>
    <w:rsid w:val="00EE5689"/>
    <w:rsid w:val="00F1290E"/>
    <w:rsid w:val="00F27636"/>
    <w:rsid w:val="00F46916"/>
    <w:rsid w:val="00F84720"/>
    <w:rsid w:val="00F93486"/>
    <w:rsid w:val="00FA0573"/>
    <w:rsid w:val="00FC0CC3"/>
    <w:rsid w:val="00FD5576"/>
    <w:rsid w:val="00FD7010"/>
    <w:rsid w:val="00FF206E"/>
    <w:rsid w:val="00FF30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F2A312-C3E3-458F-94E6-16358608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7026"/>
    <w:pPr>
      <w:tabs>
        <w:tab w:val="center" w:pos="4153"/>
        <w:tab w:val="right" w:pos="8306"/>
      </w:tabs>
      <w:snapToGrid w:val="0"/>
    </w:pPr>
    <w:rPr>
      <w:sz w:val="20"/>
      <w:szCs w:val="20"/>
    </w:rPr>
  </w:style>
  <w:style w:type="character" w:customStyle="1" w:styleId="a4">
    <w:name w:val="頁尾 字元"/>
    <w:basedOn w:val="a0"/>
    <w:link w:val="a3"/>
    <w:rsid w:val="004D7026"/>
    <w:rPr>
      <w:rFonts w:ascii="Times New Roman" w:eastAsia="新細明體" w:hAnsi="Times New Roman" w:cs="Times New Roman"/>
      <w:sz w:val="20"/>
      <w:szCs w:val="20"/>
    </w:rPr>
  </w:style>
  <w:style w:type="paragraph" w:styleId="a5">
    <w:name w:val="Body Text Indent"/>
    <w:basedOn w:val="a"/>
    <w:link w:val="a6"/>
    <w:rsid w:val="004D7026"/>
    <w:pPr>
      <w:spacing w:after="120"/>
      <w:ind w:leftChars="200" w:left="480"/>
    </w:pPr>
    <w:rPr>
      <w:lang w:val="x-none" w:eastAsia="x-none"/>
    </w:rPr>
  </w:style>
  <w:style w:type="character" w:customStyle="1" w:styleId="a6">
    <w:name w:val="本文縮排 字元"/>
    <w:basedOn w:val="a0"/>
    <w:link w:val="a5"/>
    <w:rsid w:val="004D7026"/>
    <w:rPr>
      <w:rFonts w:ascii="Times New Roman" w:eastAsia="新細明體" w:hAnsi="Times New Roman" w:cs="Times New Roman"/>
      <w:szCs w:val="24"/>
      <w:lang w:val="x-none" w:eastAsia="x-none"/>
    </w:rPr>
  </w:style>
  <w:style w:type="paragraph" w:customStyle="1" w:styleId="a7">
    <w:name w:val="公文(後續段落)"/>
    <w:basedOn w:val="a"/>
    <w:rsid w:val="004D7026"/>
    <w:pPr>
      <w:spacing w:line="500" w:lineRule="exact"/>
      <w:ind w:left="317"/>
    </w:pPr>
    <w:rPr>
      <w:rFonts w:eastAsia="標楷體"/>
      <w:sz w:val="32"/>
      <w:szCs w:val="32"/>
    </w:rPr>
  </w:style>
  <w:style w:type="paragraph" w:styleId="a8">
    <w:name w:val="header"/>
    <w:basedOn w:val="a"/>
    <w:link w:val="a9"/>
    <w:uiPriority w:val="99"/>
    <w:unhideWhenUsed/>
    <w:rsid w:val="000D04BE"/>
    <w:pPr>
      <w:tabs>
        <w:tab w:val="center" w:pos="4153"/>
        <w:tab w:val="right" w:pos="8306"/>
      </w:tabs>
      <w:snapToGrid w:val="0"/>
    </w:pPr>
    <w:rPr>
      <w:sz w:val="20"/>
      <w:szCs w:val="20"/>
    </w:rPr>
  </w:style>
  <w:style w:type="character" w:customStyle="1" w:styleId="a9">
    <w:name w:val="頁首 字元"/>
    <w:basedOn w:val="a0"/>
    <w:link w:val="a8"/>
    <w:uiPriority w:val="99"/>
    <w:rsid w:val="000D04BE"/>
    <w:rPr>
      <w:rFonts w:ascii="Times New Roman" w:eastAsia="新細明體" w:hAnsi="Times New Roman" w:cs="Times New Roman"/>
      <w:sz w:val="20"/>
      <w:szCs w:val="20"/>
    </w:rPr>
  </w:style>
  <w:style w:type="paragraph" w:styleId="Web">
    <w:name w:val="Normal (Web)"/>
    <w:basedOn w:val="a"/>
    <w:uiPriority w:val="99"/>
    <w:unhideWhenUsed/>
    <w:rsid w:val="007A7E53"/>
    <w:pPr>
      <w:widowControl/>
      <w:spacing w:before="100" w:beforeAutospacing="1" w:after="100" w:afterAutospacing="1"/>
    </w:pPr>
    <w:rPr>
      <w:rFonts w:ascii="新細明體" w:hAnsi="新細明體" w:cs="新細明體"/>
      <w:kern w:val="0"/>
    </w:rPr>
  </w:style>
  <w:style w:type="paragraph" w:styleId="aa">
    <w:name w:val="List Paragraph"/>
    <w:basedOn w:val="a"/>
    <w:uiPriority w:val="34"/>
    <w:qFormat/>
    <w:rsid w:val="00935F28"/>
    <w:pPr>
      <w:ind w:leftChars="200" w:left="480"/>
    </w:pPr>
  </w:style>
  <w:style w:type="paragraph" w:styleId="ab">
    <w:name w:val="Balloon Text"/>
    <w:basedOn w:val="a"/>
    <w:link w:val="ac"/>
    <w:uiPriority w:val="99"/>
    <w:semiHidden/>
    <w:unhideWhenUsed/>
    <w:rsid w:val="00DD686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6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041551">
      <w:bodyDiv w:val="1"/>
      <w:marLeft w:val="0"/>
      <w:marRight w:val="0"/>
      <w:marTop w:val="0"/>
      <w:marBottom w:val="0"/>
      <w:divBdr>
        <w:top w:val="none" w:sz="0" w:space="0" w:color="auto"/>
        <w:left w:val="none" w:sz="0" w:space="0" w:color="auto"/>
        <w:bottom w:val="none" w:sz="0" w:space="0" w:color="auto"/>
        <w:right w:val="none" w:sz="0" w:space="0" w:color="auto"/>
      </w:divBdr>
    </w:div>
    <w:div w:id="1627811406">
      <w:bodyDiv w:val="1"/>
      <w:marLeft w:val="0"/>
      <w:marRight w:val="0"/>
      <w:marTop w:val="0"/>
      <w:marBottom w:val="0"/>
      <w:divBdr>
        <w:top w:val="none" w:sz="0" w:space="0" w:color="auto"/>
        <w:left w:val="none" w:sz="0" w:space="0" w:color="auto"/>
        <w:bottom w:val="none" w:sz="0" w:space="0" w:color="auto"/>
        <w:right w:val="none" w:sz="0" w:space="0" w:color="auto"/>
      </w:divBdr>
    </w:div>
    <w:div w:id="1742556568">
      <w:bodyDiv w:val="1"/>
      <w:marLeft w:val="0"/>
      <w:marRight w:val="0"/>
      <w:marTop w:val="0"/>
      <w:marBottom w:val="0"/>
      <w:divBdr>
        <w:top w:val="none" w:sz="0" w:space="0" w:color="auto"/>
        <w:left w:val="none" w:sz="0" w:space="0" w:color="auto"/>
        <w:bottom w:val="none" w:sz="0" w:space="0" w:color="auto"/>
        <w:right w:val="none" w:sz="0" w:space="0" w:color="auto"/>
      </w:divBdr>
      <w:divsChild>
        <w:div w:id="114131196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E9D3-A53F-4845-B707-04E79DC8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1603</Words>
  <Characters>9139</Characters>
  <Application>Microsoft Office Word</Application>
  <DocSecurity>0</DocSecurity>
  <Lines>76</Lines>
  <Paragraphs>21</Paragraphs>
  <ScaleCrop>false</ScaleCrop>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侯丁月</dc:creator>
  <cp:lastModifiedBy>侯丁月</cp:lastModifiedBy>
  <cp:revision>4</cp:revision>
  <cp:lastPrinted>2017-11-27T08:56:00Z</cp:lastPrinted>
  <dcterms:created xsi:type="dcterms:W3CDTF">2017-12-08T02:06:00Z</dcterms:created>
  <dcterms:modified xsi:type="dcterms:W3CDTF">2017-12-18T01:20:00Z</dcterms:modified>
</cp:coreProperties>
</file>