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26" w:rsidRPr="0017410F" w:rsidRDefault="004D7026" w:rsidP="00E011C9">
      <w:pPr>
        <w:kinsoku w:val="0"/>
        <w:overflowPunct w:val="0"/>
        <w:spacing w:afterLines="20" w:after="72" w:line="440" w:lineRule="exact"/>
        <w:jc w:val="center"/>
        <w:textAlignment w:val="center"/>
        <w:rPr>
          <w:rFonts w:eastAsia="標楷體"/>
          <w:b/>
        </w:rPr>
      </w:pPr>
      <w:bookmarkStart w:id="0" w:name="OLE_LINK1"/>
      <w:r w:rsidRPr="0017410F">
        <w:rPr>
          <w:rFonts w:eastAsia="標楷體"/>
          <w:sz w:val="32"/>
          <w:szCs w:val="32"/>
        </w:rPr>
        <w:t>105</w:t>
      </w:r>
      <w:r w:rsidRPr="0017410F">
        <w:rPr>
          <w:rFonts w:eastAsia="標楷體"/>
          <w:sz w:val="32"/>
          <w:szCs w:val="32"/>
        </w:rPr>
        <w:t>年度人身保險業精算簽證作業補充說明</w:t>
      </w:r>
      <w:bookmarkEnd w:id="0"/>
      <w:r w:rsidRPr="0017410F">
        <w:rPr>
          <w:rFonts w:eastAsia="標楷體"/>
          <w:sz w:val="32"/>
          <w:szCs w:val="32"/>
        </w:rPr>
        <w:t>修正對照表</w:t>
      </w:r>
    </w:p>
    <w:tbl>
      <w:tblPr>
        <w:tblW w:w="94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827"/>
        <w:gridCol w:w="1784"/>
      </w:tblGrid>
      <w:tr w:rsidR="0017410F" w:rsidRPr="0017410F" w:rsidTr="00D83DCB">
        <w:trPr>
          <w:trHeight w:val="20"/>
          <w:tblHeader/>
        </w:trPr>
        <w:tc>
          <w:tcPr>
            <w:tcW w:w="3828" w:type="dxa"/>
            <w:vAlign w:val="center"/>
          </w:tcPr>
          <w:p w:rsidR="004D7026" w:rsidRPr="0017410F" w:rsidRDefault="004D7026" w:rsidP="001D7BC8">
            <w:pPr>
              <w:kinsoku w:val="0"/>
              <w:overflowPunct w:val="0"/>
              <w:spacing w:line="440" w:lineRule="exact"/>
              <w:jc w:val="center"/>
              <w:textAlignment w:val="center"/>
              <w:rPr>
                <w:rFonts w:eastAsia="標楷體"/>
              </w:rPr>
            </w:pPr>
            <w:r w:rsidRPr="0017410F">
              <w:rPr>
                <w:rFonts w:eastAsia="標楷體"/>
              </w:rPr>
              <w:t>105</w:t>
            </w:r>
            <w:r w:rsidRPr="0017410F">
              <w:rPr>
                <w:rFonts w:eastAsia="標楷體"/>
              </w:rPr>
              <w:t>年</w:t>
            </w:r>
            <w:r w:rsidR="001D7BC8">
              <w:rPr>
                <w:rFonts w:eastAsia="標楷體" w:hint="eastAsia"/>
              </w:rPr>
              <w:t>修正</w:t>
            </w:r>
            <w:r w:rsidRPr="0017410F">
              <w:rPr>
                <w:rFonts w:eastAsia="標楷體"/>
              </w:rPr>
              <w:t>條文</w:t>
            </w:r>
          </w:p>
        </w:tc>
        <w:tc>
          <w:tcPr>
            <w:tcW w:w="3827" w:type="dxa"/>
            <w:vAlign w:val="center"/>
          </w:tcPr>
          <w:p w:rsidR="004D7026" w:rsidRPr="0017410F" w:rsidRDefault="004D7026" w:rsidP="00E011C9">
            <w:pPr>
              <w:kinsoku w:val="0"/>
              <w:overflowPunct w:val="0"/>
              <w:spacing w:line="440" w:lineRule="exact"/>
              <w:jc w:val="center"/>
              <w:textAlignment w:val="center"/>
              <w:rPr>
                <w:rFonts w:eastAsia="標楷體"/>
              </w:rPr>
            </w:pPr>
            <w:r w:rsidRPr="0017410F">
              <w:rPr>
                <w:rFonts w:eastAsia="標楷體"/>
              </w:rPr>
              <w:t>104</w:t>
            </w:r>
            <w:r w:rsidRPr="0017410F">
              <w:rPr>
                <w:rFonts w:eastAsia="標楷體"/>
              </w:rPr>
              <w:t>年現行條文</w:t>
            </w:r>
          </w:p>
        </w:tc>
        <w:tc>
          <w:tcPr>
            <w:tcW w:w="1784" w:type="dxa"/>
            <w:vAlign w:val="center"/>
          </w:tcPr>
          <w:p w:rsidR="004D7026" w:rsidRPr="0017410F" w:rsidRDefault="004D7026" w:rsidP="00E011C9">
            <w:pPr>
              <w:kinsoku w:val="0"/>
              <w:overflowPunct w:val="0"/>
              <w:spacing w:line="440" w:lineRule="exact"/>
              <w:jc w:val="center"/>
              <w:textAlignment w:val="center"/>
              <w:rPr>
                <w:rFonts w:eastAsia="標楷體"/>
              </w:rPr>
            </w:pPr>
            <w:r w:rsidRPr="0017410F">
              <w:rPr>
                <w:rFonts w:eastAsia="標楷體"/>
              </w:rPr>
              <w:t>說明</w:t>
            </w:r>
          </w:p>
        </w:tc>
      </w:tr>
      <w:tr w:rsidR="0017410F" w:rsidRPr="0017410F" w:rsidTr="00D83DCB">
        <w:trPr>
          <w:trHeight w:val="20"/>
        </w:trPr>
        <w:tc>
          <w:tcPr>
            <w:tcW w:w="3828" w:type="dxa"/>
            <w:vAlign w:val="center"/>
          </w:tcPr>
          <w:p w:rsidR="000A799A" w:rsidRPr="0017410F" w:rsidRDefault="000A799A" w:rsidP="00E011C9">
            <w:pPr>
              <w:kinsoku w:val="0"/>
              <w:overflowPunct w:val="0"/>
              <w:spacing w:line="440" w:lineRule="exact"/>
              <w:jc w:val="both"/>
              <w:textAlignment w:val="center"/>
              <w:rPr>
                <w:rFonts w:eastAsia="標楷體"/>
              </w:rPr>
            </w:pPr>
            <w:r w:rsidRPr="0017410F">
              <w:rPr>
                <w:rFonts w:eastAsia="標楷體"/>
              </w:rPr>
              <w:t>第一章、總則</w:t>
            </w:r>
          </w:p>
        </w:tc>
        <w:tc>
          <w:tcPr>
            <w:tcW w:w="3827" w:type="dxa"/>
          </w:tcPr>
          <w:p w:rsidR="000A799A" w:rsidRPr="0017410F" w:rsidRDefault="000A799A" w:rsidP="00E011C9">
            <w:pPr>
              <w:kinsoku w:val="0"/>
              <w:overflowPunct w:val="0"/>
              <w:spacing w:line="440" w:lineRule="exact"/>
              <w:jc w:val="both"/>
              <w:textAlignment w:val="center"/>
              <w:rPr>
                <w:rFonts w:eastAsia="標楷體"/>
              </w:rPr>
            </w:pPr>
            <w:r w:rsidRPr="0017410F">
              <w:rPr>
                <w:rFonts w:eastAsia="標楷體"/>
              </w:rPr>
              <w:t>第一章、總則</w:t>
            </w:r>
          </w:p>
        </w:tc>
        <w:tc>
          <w:tcPr>
            <w:tcW w:w="1784" w:type="dxa"/>
            <w:vAlign w:val="center"/>
          </w:tcPr>
          <w:p w:rsidR="000A799A" w:rsidRPr="0017410F" w:rsidRDefault="000A799A" w:rsidP="00E011C9">
            <w:pPr>
              <w:kinsoku w:val="0"/>
              <w:overflowPunct w:val="0"/>
              <w:spacing w:line="440" w:lineRule="exact"/>
              <w:jc w:val="both"/>
              <w:textAlignment w:val="center"/>
              <w:rPr>
                <w:rFonts w:eastAsia="標楷體"/>
              </w:rPr>
            </w:pPr>
          </w:p>
        </w:tc>
      </w:tr>
      <w:tr w:rsidR="0017410F" w:rsidRPr="0017410F" w:rsidTr="00D83DCB">
        <w:trPr>
          <w:trHeight w:val="20"/>
        </w:trPr>
        <w:tc>
          <w:tcPr>
            <w:tcW w:w="3828" w:type="dxa"/>
            <w:vAlign w:val="center"/>
          </w:tcPr>
          <w:p w:rsidR="009C245C" w:rsidRPr="0017410F" w:rsidRDefault="009C245C" w:rsidP="00E011C9">
            <w:pPr>
              <w:kinsoku w:val="0"/>
              <w:overflowPunct w:val="0"/>
              <w:spacing w:line="440" w:lineRule="exact"/>
              <w:ind w:left="497" w:hangingChars="207" w:hanging="497"/>
              <w:jc w:val="both"/>
              <w:textAlignment w:val="center"/>
              <w:rPr>
                <w:rFonts w:eastAsia="標楷體"/>
              </w:rPr>
            </w:pPr>
            <w:r w:rsidRPr="0017410F">
              <w:rPr>
                <w:rFonts w:eastAsia="標楷體"/>
              </w:rPr>
              <w:t>一、本說明係配合保險法第</w:t>
            </w:r>
            <w:r w:rsidRPr="0017410F">
              <w:rPr>
                <w:rFonts w:eastAsia="標楷體"/>
              </w:rPr>
              <w:t>144</w:t>
            </w:r>
            <w:r w:rsidRPr="0017410F">
              <w:rPr>
                <w:rFonts w:eastAsia="標楷體"/>
              </w:rPr>
              <w:t>條及相關法令規定，補充說明簽證精算人員執行簽證工作時應遵循之事項，以及簽證報告內容與格式之要求，以作為主管機關審閱</w:t>
            </w:r>
            <w:r w:rsidRPr="0017410F">
              <w:rPr>
                <w:rFonts w:eastAsia="標楷體"/>
                <w:u w:val="single"/>
              </w:rPr>
              <w:t>105</w:t>
            </w:r>
            <w:r w:rsidRPr="0017410F">
              <w:rPr>
                <w:rFonts w:eastAsia="標楷體"/>
              </w:rPr>
              <w:t>年度人身保險業精算簽證報告之重要依據。</w:t>
            </w:r>
          </w:p>
        </w:tc>
        <w:tc>
          <w:tcPr>
            <w:tcW w:w="3827" w:type="dxa"/>
            <w:vAlign w:val="center"/>
          </w:tcPr>
          <w:p w:rsidR="009C245C" w:rsidRPr="0017410F" w:rsidRDefault="009C245C" w:rsidP="00E011C9">
            <w:pPr>
              <w:kinsoku w:val="0"/>
              <w:overflowPunct w:val="0"/>
              <w:spacing w:line="440" w:lineRule="exact"/>
              <w:ind w:left="497" w:hangingChars="207" w:hanging="497"/>
              <w:jc w:val="both"/>
              <w:textAlignment w:val="center"/>
              <w:rPr>
                <w:rFonts w:eastAsia="標楷體"/>
              </w:rPr>
            </w:pPr>
            <w:r w:rsidRPr="0017410F">
              <w:rPr>
                <w:rFonts w:eastAsia="標楷體"/>
              </w:rPr>
              <w:t>一、本說明係配合保險法第</w:t>
            </w:r>
            <w:r w:rsidRPr="0017410F">
              <w:rPr>
                <w:rFonts w:eastAsia="標楷體"/>
              </w:rPr>
              <w:t>144</w:t>
            </w:r>
            <w:r w:rsidRPr="0017410F">
              <w:rPr>
                <w:rFonts w:eastAsia="標楷體"/>
              </w:rPr>
              <w:t>條及相關法令規定，補充說明簽證精算人員執行簽證工作時應遵循之事項，以及簽證報告內容與格式之要求，以作為主管機關審閱</w:t>
            </w:r>
            <w:r w:rsidRPr="0017410F">
              <w:rPr>
                <w:rFonts w:eastAsia="標楷體"/>
                <w:u w:val="single"/>
              </w:rPr>
              <w:t>104</w:t>
            </w:r>
            <w:r w:rsidRPr="0017410F">
              <w:rPr>
                <w:rFonts w:eastAsia="標楷體"/>
              </w:rPr>
              <w:t>年度人身保險業精算簽證報告之重要依據。</w:t>
            </w:r>
          </w:p>
        </w:tc>
        <w:tc>
          <w:tcPr>
            <w:tcW w:w="1784" w:type="dxa"/>
          </w:tcPr>
          <w:p w:rsidR="009C245C" w:rsidRPr="0017410F" w:rsidRDefault="009C245C" w:rsidP="00E011C9">
            <w:pPr>
              <w:kinsoku w:val="0"/>
              <w:overflowPunct w:val="0"/>
              <w:spacing w:line="440" w:lineRule="exact"/>
              <w:jc w:val="both"/>
              <w:textAlignment w:val="center"/>
              <w:rPr>
                <w:rFonts w:eastAsia="標楷體"/>
              </w:rPr>
            </w:pPr>
            <w:r w:rsidRPr="0017410F">
              <w:rPr>
                <w:rFonts w:eastAsia="標楷體"/>
              </w:rPr>
              <w:t>年度變更。</w:t>
            </w:r>
          </w:p>
        </w:tc>
      </w:tr>
      <w:tr w:rsidR="0017410F" w:rsidRPr="0017410F" w:rsidTr="00D83DCB">
        <w:trPr>
          <w:trHeight w:val="20"/>
        </w:trPr>
        <w:tc>
          <w:tcPr>
            <w:tcW w:w="3828" w:type="dxa"/>
            <w:vAlign w:val="center"/>
          </w:tcPr>
          <w:p w:rsidR="009C245C" w:rsidRPr="0017410F" w:rsidRDefault="009C245C" w:rsidP="00E011C9">
            <w:pPr>
              <w:kinsoku w:val="0"/>
              <w:overflowPunct w:val="0"/>
              <w:spacing w:line="440" w:lineRule="exact"/>
              <w:ind w:left="497" w:hangingChars="207" w:hanging="497"/>
              <w:jc w:val="both"/>
              <w:textAlignment w:val="center"/>
              <w:rPr>
                <w:rFonts w:eastAsia="標楷體"/>
              </w:rPr>
            </w:pPr>
            <w:r w:rsidRPr="0017410F">
              <w:rPr>
                <w:rFonts w:eastAsia="標楷體"/>
              </w:rPr>
              <w:t>第二章、資產面</w:t>
            </w:r>
          </w:p>
        </w:tc>
        <w:tc>
          <w:tcPr>
            <w:tcW w:w="3827" w:type="dxa"/>
            <w:vAlign w:val="center"/>
          </w:tcPr>
          <w:p w:rsidR="009C245C" w:rsidRPr="0017410F" w:rsidRDefault="009C245C" w:rsidP="00E011C9">
            <w:pPr>
              <w:kinsoku w:val="0"/>
              <w:overflowPunct w:val="0"/>
              <w:spacing w:line="440" w:lineRule="exact"/>
              <w:ind w:left="497" w:hangingChars="207" w:hanging="497"/>
              <w:jc w:val="both"/>
              <w:textAlignment w:val="center"/>
              <w:rPr>
                <w:rFonts w:eastAsia="標楷體"/>
              </w:rPr>
            </w:pPr>
            <w:r w:rsidRPr="0017410F">
              <w:rPr>
                <w:rFonts w:eastAsia="標楷體"/>
              </w:rPr>
              <w:t>第二章、資產面</w:t>
            </w:r>
          </w:p>
        </w:tc>
        <w:tc>
          <w:tcPr>
            <w:tcW w:w="1784" w:type="dxa"/>
            <w:vAlign w:val="center"/>
          </w:tcPr>
          <w:p w:rsidR="009C245C" w:rsidRPr="0017410F" w:rsidRDefault="009C245C" w:rsidP="00E011C9">
            <w:pPr>
              <w:kinsoku w:val="0"/>
              <w:overflowPunct w:val="0"/>
              <w:spacing w:line="440" w:lineRule="exact"/>
              <w:jc w:val="both"/>
              <w:textAlignment w:val="center"/>
              <w:rPr>
                <w:rFonts w:eastAsia="標楷體"/>
              </w:rPr>
            </w:pPr>
          </w:p>
        </w:tc>
      </w:tr>
      <w:tr w:rsidR="0017410F" w:rsidRPr="0017410F" w:rsidTr="00D83DCB">
        <w:trPr>
          <w:trHeight w:val="20"/>
        </w:trPr>
        <w:tc>
          <w:tcPr>
            <w:tcW w:w="3828" w:type="dxa"/>
          </w:tcPr>
          <w:p w:rsidR="009C245C" w:rsidRPr="0017410F" w:rsidRDefault="009C245C" w:rsidP="00EB7A26">
            <w:pPr>
              <w:kinsoku w:val="0"/>
              <w:overflowPunct w:val="0"/>
              <w:spacing w:line="440" w:lineRule="exact"/>
              <w:ind w:left="497" w:hangingChars="207" w:hanging="497"/>
              <w:jc w:val="both"/>
              <w:textAlignment w:val="center"/>
              <w:rPr>
                <w:rFonts w:eastAsia="標楷體"/>
              </w:rPr>
            </w:pPr>
            <w:r w:rsidRPr="0017410F">
              <w:rPr>
                <w:rFonts w:eastAsia="標楷體"/>
              </w:rPr>
              <w:t>三、簽證精算人員應提供各年度公司新錢及整體之資產配置</w:t>
            </w:r>
            <w:r w:rsidR="0017410F">
              <w:rPr>
                <w:rFonts w:eastAsia="標楷體" w:hint="eastAsia"/>
              </w:rPr>
              <w:t>(</w:t>
            </w:r>
            <w:r w:rsidRPr="0017410F">
              <w:rPr>
                <w:rFonts w:eastAsia="標楷體"/>
              </w:rPr>
              <w:t>詳指定附表</w:t>
            </w:r>
            <w:r w:rsidRPr="0017410F">
              <w:rPr>
                <w:rFonts w:eastAsia="標楷體"/>
              </w:rPr>
              <w:t>1</w:t>
            </w:r>
            <w:r w:rsidR="0017410F">
              <w:rPr>
                <w:rFonts w:eastAsia="標楷體" w:hint="eastAsia"/>
              </w:rPr>
              <w:t>)</w:t>
            </w:r>
            <w:r w:rsidRPr="0017410F">
              <w:rPr>
                <w:rFonts w:eastAsia="標楷體"/>
              </w:rPr>
              <w:t>，並說明其依據及合理性</w:t>
            </w:r>
            <w:r w:rsidRPr="0017410F">
              <w:rPr>
                <w:rFonts w:eastAsia="標楷體"/>
                <w:u w:val="single"/>
              </w:rPr>
              <w:t>，其中固定收益類之新錢資</w:t>
            </w:r>
            <w:r w:rsidRPr="00F84720">
              <w:rPr>
                <w:rFonts w:eastAsia="標楷體"/>
                <w:u w:val="single"/>
              </w:rPr>
              <w:t>產配置，應進一步提供所採新購固定收益資產之明細，包括</w:t>
            </w:r>
            <w:r w:rsidR="002F632D" w:rsidRPr="00F84720">
              <w:rPr>
                <w:rFonts w:ascii="標楷體" w:eastAsia="標楷體" w:hAnsi="標楷體" w:hint="eastAsia"/>
                <w:u w:val="single"/>
              </w:rPr>
              <w:t>幣別、資產類別</w:t>
            </w:r>
            <w:r w:rsidR="002F632D" w:rsidRPr="00F84720">
              <w:rPr>
                <w:rFonts w:ascii="標楷體" w:eastAsia="標楷體" w:hAnsi="標楷體"/>
                <w:u w:val="single"/>
              </w:rPr>
              <w:t>、年期、</w:t>
            </w:r>
            <w:r w:rsidRPr="00F84720">
              <w:rPr>
                <w:rFonts w:eastAsia="標楷體"/>
                <w:u w:val="single"/>
              </w:rPr>
              <w:t>信用評等、利息支付方式、贖回條件、</w:t>
            </w:r>
            <w:r w:rsidR="001477B3" w:rsidRPr="00F84720">
              <w:rPr>
                <w:rFonts w:eastAsia="標楷體" w:hint="eastAsia"/>
                <w:u w:val="single"/>
              </w:rPr>
              <w:t>占</w:t>
            </w:r>
            <w:r w:rsidRPr="00F84720">
              <w:rPr>
                <w:rFonts w:eastAsia="標楷體"/>
                <w:u w:val="single"/>
              </w:rPr>
              <w:t>率</w:t>
            </w:r>
            <w:r w:rsidRPr="002F632D">
              <w:rPr>
                <w:rFonts w:eastAsia="標楷體"/>
                <w:u w:val="single"/>
              </w:rPr>
              <w:t>等資料。</w:t>
            </w:r>
          </w:p>
        </w:tc>
        <w:tc>
          <w:tcPr>
            <w:tcW w:w="3827" w:type="dxa"/>
          </w:tcPr>
          <w:p w:rsidR="009C245C" w:rsidRPr="0017410F" w:rsidRDefault="009C245C" w:rsidP="0017410F">
            <w:pPr>
              <w:kinsoku w:val="0"/>
              <w:overflowPunct w:val="0"/>
              <w:spacing w:line="440" w:lineRule="exact"/>
              <w:ind w:left="497" w:hangingChars="207" w:hanging="497"/>
              <w:jc w:val="both"/>
              <w:textAlignment w:val="center"/>
              <w:rPr>
                <w:rFonts w:eastAsia="標楷體"/>
              </w:rPr>
            </w:pPr>
            <w:r w:rsidRPr="0017410F">
              <w:rPr>
                <w:rFonts w:eastAsia="標楷體"/>
              </w:rPr>
              <w:t>三、簽證精算人員應提供各年度公司新錢及整體之資產配置</w:t>
            </w:r>
            <w:r w:rsidR="0017410F">
              <w:rPr>
                <w:rFonts w:eastAsia="標楷體" w:hint="eastAsia"/>
              </w:rPr>
              <w:t>(</w:t>
            </w:r>
            <w:r w:rsidRPr="0017410F">
              <w:rPr>
                <w:rFonts w:eastAsia="標楷體"/>
              </w:rPr>
              <w:t>詳指定附表</w:t>
            </w:r>
            <w:r w:rsidRPr="0017410F">
              <w:rPr>
                <w:rFonts w:eastAsia="標楷體"/>
              </w:rPr>
              <w:t>1</w:t>
            </w:r>
            <w:r w:rsidR="0017410F">
              <w:rPr>
                <w:rFonts w:eastAsia="標楷體" w:hint="eastAsia"/>
              </w:rPr>
              <w:t>)</w:t>
            </w:r>
            <w:r w:rsidRPr="0017410F">
              <w:rPr>
                <w:rFonts w:eastAsia="標楷體"/>
              </w:rPr>
              <w:t>，並說明其依據及合理性</w:t>
            </w:r>
            <w:r w:rsidRPr="00C55BAB">
              <w:rPr>
                <w:rFonts w:eastAsia="標楷體"/>
              </w:rPr>
              <w:t>。</w:t>
            </w:r>
          </w:p>
        </w:tc>
        <w:tc>
          <w:tcPr>
            <w:tcW w:w="1784" w:type="dxa"/>
          </w:tcPr>
          <w:p w:rsidR="0017410F" w:rsidRPr="0017410F" w:rsidRDefault="002367D8" w:rsidP="0017410F">
            <w:pPr>
              <w:kinsoku w:val="0"/>
              <w:overflowPunct w:val="0"/>
              <w:spacing w:line="440" w:lineRule="exact"/>
              <w:jc w:val="both"/>
              <w:textAlignment w:val="center"/>
              <w:rPr>
                <w:rFonts w:eastAsia="標楷體"/>
              </w:rPr>
            </w:pPr>
            <w:r w:rsidRPr="0017410F">
              <w:rPr>
                <w:rFonts w:eastAsia="標楷體"/>
              </w:rPr>
              <w:t>為</w:t>
            </w:r>
            <w:r w:rsidR="009C245C" w:rsidRPr="0017410F">
              <w:rPr>
                <w:rFonts w:eastAsia="標楷體"/>
              </w:rPr>
              <w:t>加強公司反</w:t>
            </w:r>
            <w:r w:rsidR="0017410F">
              <w:rPr>
                <w:rFonts w:eastAsia="標楷體" w:hint="eastAsia"/>
              </w:rPr>
              <w:t>映</w:t>
            </w:r>
            <w:r w:rsidR="009C245C" w:rsidRPr="0017410F">
              <w:rPr>
                <w:rFonts w:eastAsia="標楷體"/>
              </w:rPr>
              <w:t>實際投資策略擬定適切資產配置假設</w:t>
            </w:r>
            <w:r w:rsidRPr="0017410F">
              <w:rPr>
                <w:rFonts w:eastAsia="標楷體"/>
              </w:rPr>
              <w:t>，爰增列</w:t>
            </w:r>
            <w:r w:rsidR="00BE7255" w:rsidRPr="0017410F">
              <w:rPr>
                <w:rFonts w:eastAsia="標楷體"/>
              </w:rPr>
              <w:t>固定收益類之新錢資產配置</w:t>
            </w:r>
            <w:r w:rsidRPr="0017410F">
              <w:rPr>
                <w:rFonts w:eastAsia="標楷體"/>
              </w:rPr>
              <w:t>應</w:t>
            </w:r>
            <w:r w:rsidR="00BE7255" w:rsidRPr="0017410F">
              <w:rPr>
                <w:rFonts w:eastAsia="標楷體"/>
              </w:rPr>
              <w:t>進一步</w:t>
            </w:r>
            <w:r w:rsidRPr="0017410F">
              <w:rPr>
                <w:rFonts w:eastAsia="標楷體"/>
              </w:rPr>
              <w:t>提供相關明細資料</w:t>
            </w:r>
            <w:r w:rsidR="009C245C" w:rsidRPr="0017410F">
              <w:rPr>
                <w:rFonts w:eastAsia="標楷體"/>
              </w:rPr>
              <w:t>。</w:t>
            </w:r>
          </w:p>
        </w:tc>
      </w:tr>
      <w:tr w:rsidR="0017410F" w:rsidRPr="0017410F" w:rsidTr="00D83DCB">
        <w:trPr>
          <w:trHeight w:val="20"/>
        </w:trPr>
        <w:tc>
          <w:tcPr>
            <w:tcW w:w="3828" w:type="dxa"/>
          </w:tcPr>
          <w:p w:rsidR="009C245C" w:rsidRPr="0017410F" w:rsidRDefault="009C245C" w:rsidP="00F84720">
            <w:pPr>
              <w:kinsoku w:val="0"/>
              <w:overflowPunct w:val="0"/>
              <w:spacing w:line="440" w:lineRule="exact"/>
              <w:ind w:left="497" w:hangingChars="207" w:hanging="497"/>
              <w:jc w:val="both"/>
              <w:textAlignment w:val="center"/>
              <w:rPr>
                <w:rFonts w:eastAsia="標楷體"/>
              </w:rPr>
            </w:pPr>
            <w:r w:rsidRPr="0017410F">
              <w:rPr>
                <w:rFonts w:eastAsia="標楷體"/>
              </w:rPr>
              <w:t>八、簽證精算人員應依主管機關規定之</w:t>
            </w:r>
            <w:r w:rsidRPr="0017410F">
              <w:rPr>
                <w:rFonts w:eastAsia="標楷體"/>
              </w:rPr>
              <w:t>1,009</w:t>
            </w:r>
            <w:r w:rsidRPr="0017410F">
              <w:rPr>
                <w:rFonts w:eastAsia="標楷體"/>
              </w:rPr>
              <w:t>組情境進行測試，並說明各類資產情境之採用情形，資產類型至少區分現金、固定收益類、權益類及不動產等，投資幣別至少區分國內及國外</w:t>
            </w:r>
            <w:r w:rsidR="00F84720">
              <w:rPr>
                <w:rFonts w:eastAsia="標楷體" w:hint="eastAsia"/>
              </w:rPr>
              <w:t>(</w:t>
            </w:r>
            <w:r w:rsidRPr="0017410F">
              <w:rPr>
                <w:rFonts w:eastAsia="標楷體"/>
              </w:rPr>
              <w:t>按交易計價幣別</w:t>
            </w:r>
            <w:r w:rsidR="00F84720">
              <w:rPr>
                <w:rFonts w:eastAsia="標楷體" w:hint="eastAsia"/>
              </w:rPr>
              <w:t>)</w:t>
            </w:r>
            <w:r w:rsidRPr="0017410F">
              <w:rPr>
                <w:rFonts w:eastAsia="標楷體"/>
                <w:u w:val="single"/>
              </w:rPr>
              <w:t>，其中固定收益類應至少按可否贖回區分政府公債、</w:t>
            </w:r>
            <w:r w:rsidRPr="0017410F">
              <w:rPr>
                <w:rFonts w:eastAsia="標楷體"/>
                <w:u w:val="single"/>
              </w:rPr>
              <w:lastRenderedPageBreak/>
              <w:t>公司債</w:t>
            </w:r>
            <w:r w:rsidR="001D7BC8">
              <w:rPr>
                <w:rFonts w:eastAsia="標楷體" w:hint="eastAsia"/>
                <w:u w:val="single"/>
              </w:rPr>
              <w:t>或</w:t>
            </w:r>
            <w:r w:rsidRPr="0017410F">
              <w:rPr>
                <w:rFonts w:eastAsia="標楷體"/>
                <w:u w:val="single"/>
              </w:rPr>
              <w:t>金融債、國際板債券等類別。</w:t>
            </w:r>
          </w:p>
        </w:tc>
        <w:tc>
          <w:tcPr>
            <w:tcW w:w="3827" w:type="dxa"/>
          </w:tcPr>
          <w:p w:rsidR="009C245C" w:rsidRPr="0017410F" w:rsidRDefault="009C245C" w:rsidP="00F84720">
            <w:pPr>
              <w:kinsoku w:val="0"/>
              <w:overflowPunct w:val="0"/>
              <w:spacing w:line="440" w:lineRule="exact"/>
              <w:ind w:left="497" w:hangingChars="207" w:hanging="497"/>
              <w:jc w:val="both"/>
              <w:textAlignment w:val="center"/>
              <w:rPr>
                <w:rFonts w:eastAsia="標楷體"/>
              </w:rPr>
            </w:pPr>
            <w:r w:rsidRPr="0017410F">
              <w:rPr>
                <w:rFonts w:eastAsia="標楷體"/>
              </w:rPr>
              <w:lastRenderedPageBreak/>
              <w:t>八、簽證精算人員應依主管機關規定之</w:t>
            </w:r>
            <w:r w:rsidRPr="0017410F">
              <w:rPr>
                <w:rFonts w:eastAsia="標楷體"/>
              </w:rPr>
              <w:t>1,009</w:t>
            </w:r>
            <w:r w:rsidRPr="0017410F">
              <w:rPr>
                <w:rFonts w:eastAsia="標楷體"/>
              </w:rPr>
              <w:t>組情境進行測試，並說明各類資產情境之採用情形，資產類型至少區分現金、固定收益類、權益類及不動產等，投資幣別至少區分國內及國外</w:t>
            </w:r>
            <w:r w:rsidR="00F84720">
              <w:rPr>
                <w:rFonts w:eastAsia="標楷體" w:hint="eastAsia"/>
              </w:rPr>
              <w:t>(</w:t>
            </w:r>
            <w:r w:rsidRPr="0017410F">
              <w:rPr>
                <w:rFonts w:eastAsia="標楷體"/>
              </w:rPr>
              <w:t>按交易計價幣別</w:t>
            </w:r>
            <w:r w:rsidR="00F84720">
              <w:rPr>
                <w:rFonts w:eastAsia="標楷體" w:hint="eastAsia"/>
              </w:rPr>
              <w:t>)</w:t>
            </w:r>
            <w:bookmarkStart w:id="1" w:name="_GoBack"/>
            <w:bookmarkEnd w:id="1"/>
            <w:r w:rsidRPr="001477B3">
              <w:rPr>
                <w:rFonts w:eastAsia="標楷體"/>
              </w:rPr>
              <w:t>。</w:t>
            </w:r>
          </w:p>
        </w:tc>
        <w:tc>
          <w:tcPr>
            <w:tcW w:w="1784" w:type="dxa"/>
          </w:tcPr>
          <w:p w:rsidR="009C245C" w:rsidRPr="0017410F" w:rsidRDefault="004C4109" w:rsidP="0017410F">
            <w:pPr>
              <w:kinsoku w:val="0"/>
              <w:overflowPunct w:val="0"/>
              <w:spacing w:line="440" w:lineRule="exact"/>
              <w:jc w:val="both"/>
              <w:textAlignment w:val="center"/>
              <w:rPr>
                <w:rFonts w:eastAsia="標楷體"/>
              </w:rPr>
            </w:pPr>
            <w:r w:rsidRPr="0017410F">
              <w:rPr>
                <w:rFonts w:eastAsia="標楷體"/>
              </w:rPr>
              <w:t>為</w:t>
            </w:r>
            <w:r w:rsidR="00FF3042" w:rsidRPr="0017410F">
              <w:rPr>
                <w:rFonts w:eastAsia="標楷體"/>
              </w:rPr>
              <w:t>利公司評估不同資產類型之配置情形及投資績效</w:t>
            </w:r>
            <w:r w:rsidRPr="0017410F">
              <w:rPr>
                <w:rFonts w:eastAsia="標楷體"/>
              </w:rPr>
              <w:t>，爰增列固定收益類應至少按可否贖回區分政府公債、公司債</w:t>
            </w:r>
            <w:r w:rsidR="0017410F">
              <w:rPr>
                <w:rFonts w:eastAsia="標楷體" w:hint="eastAsia"/>
              </w:rPr>
              <w:t>或</w:t>
            </w:r>
            <w:r w:rsidRPr="0017410F">
              <w:rPr>
                <w:rFonts w:eastAsia="標楷體"/>
              </w:rPr>
              <w:t>金融債、</w:t>
            </w:r>
            <w:r w:rsidRPr="0017410F">
              <w:rPr>
                <w:rFonts w:eastAsia="標楷體"/>
              </w:rPr>
              <w:lastRenderedPageBreak/>
              <w:t>國際板債券等類別。</w:t>
            </w:r>
          </w:p>
        </w:tc>
      </w:tr>
      <w:tr w:rsidR="0017410F" w:rsidRPr="0017410F" w:rsidTr="00D83DCB">
        <w:trPr>
          <w:trHeight w:val="20"/>
        </w:trPr>
        <w:tc>
          <w:tcPr>
            <w:tcW w:w="3828" w:type="dxa"/>
          </w:tcPr>
          <w:p w:rsidR="009C245C" w:rsidRPr="0017410F" w:rsidRDefault="009C245C" w:rsidP="00E011C9">
            <w:pPr>
              <w:kinsoku w:val="0"/>
              <w:overflowPunct w:val="0"/>
              <w:spacing w:line="440" w:lineRule="exact"/>
              <w:ind w:left="497" w:hangingChars="207" w:hanging="497"/>
              <w:jc w:val="both"/>
              <w:textAlignment w:val="center"/>
              <w:rPr>
                <w:rFonts w:eastAsia="標楷體"/>
              </w:rPr>
            </w:pPr>
            <w:r w:rsidRPr="0017410F">
              <w:rPr>
                <w:rFonts w:eastAsia="標楷體"/>
              </w:rPr>
              <w:lastRenderedPageBreak/>
              <w:t>第三章、負債面</w:t>
            </w:r>
          </w:p>
        </w:tc>
        <w:tc>
          <w:tcPr>
            <w:tcW w:w="3827" w:type="dxa"/>
          </w:tcPr>
          <w:p w:rsidR="009C245C" w:rsidRPr="0017410F" w:rsidRDefault="009C245C" w:rsidP="00E011C9">
            <w:pPr>
              <w:kinsoku w:val="0"/>
              <w:overflowPunct w:val="0"/>
              <w:spacing w:line="440" w:lineRule="exact"/>
              <w:ind w:left="497" w:hangingChars="207" w:hanging="497"/>
              <w:jc w:val="both"/>
              <w:textAlignment w:val="center"/>
              <w:rPr>
                <w:rFonts w:eastAsia="標楷體"/>
              </w:rPr>
            </w:pPr>
            <w:r w:rsidRPr="0017410F">
              <w:rPr>
                <w:rFonts w:eastAsia="標楷體"/>
              </w:rPr>
              <w:t>第三章、負債面</w:t>
            </w:r>
          </w:p>
        </w:tc>
        <w:tc>
          <w:tcPr>
            <w:tcW w:w="1784" w:type="dxa"/>
            <w:vAlign w:val="center"/>
          </w:tcPr>
          <w:p w:rsidR="009C245C" w:rsidRPr="0017410F" w:rsidRDefault="009C245C" w:rsidP="00E011C9">
            <w:pPr>
              <w:kinsoku w:val="0"/>
              <w:overflowPunct w:val="0"/>
              <w:spacing w:line="440" w:lineRule="exact"/>
              <w:jc w:val="both"/>
              <w:textAlignment w:val="center"/>
              <w:rPr>
                <w:rFonts w:eastAsia="標楷體"/>
              </w:rPr>
            </w:pPr>
          </w:p>
        </w:tc>
      </w:tr>
      <w:tr w:rsidR="0017410F" w:rsidRPr="0017410F" w:rsidTr="00D83DCB">
        <w:trPr>
          <w:trHeight w:val="20"/>
        </w:trPr>
        <w:tc>
          <w:tcPr>
            <w:tcW w:w="3828" w:type="dxa"/>
          </w:tcPr>
          <w:p w:rsidR="009C245C" w:rsidRPr="0017410F" w:rsidRDefault="009C245C" w:rsidP="00E011C9">
            <w:pPr>
              <w:kinsoku w:val="0"/>
              <w:overflowPunct w:val="0"/>
              <w:spacing w:line="440" w:lineRule="exact"/>
              <w:ind w:left="744" w:hangingChars="310" w:hanging="744"/>
              <w:jc w:val="both"/>
              <w:textAlignment w:val="center"/>
              <w:rPr>
                <w:rFonts w:eastAsia="標楷體"/>
              </w:rPr>
            </w:pPr>
            <w:r w:rsidRPr="0017410F">
              <w:rPr>
                <w:rFonts w:eastAsia="標楷體"/>
              </w:rPr>
              <w:t>十五、簽證精算人員應提供下列各款精算假設之數值及其依據，且檢附在相同比較基礎下精算假設與過去實際經驗之對照表，並說明其合理性。</w:t>
            </w:r>
          </w:p>
          <w:p w:rsidR="009C245C" w:rsidRPr="0017410F" w:rsidRDefault="0017410F" w:rsidP="0017410F">
            <w:pPr>
              <w:kinsoku w:val="0"/>
              <w:overflowPunct w:val="0"/>
              <w:spacing w:line="440" w:lineRule="exact"/>
              <w:ind w:leftChars="309" w:left="1193" w:hangingChars="188" w:hanging="451"/>
              <w:jc w:val="both"/>
              <w:textAlignment w:val="center"/>
              <w:rPr>
                <w:rFonts w:eastAsia="標楷體"/>
              </w:rPr>
            </w:pPr>
            <w:r>
              <w:rPr>
                <w:rFonts w:eastAsia="標楷體" w:hint="eastAsia"/>
              </w:rPr>
              <w:t>(</w:t>
            </w:r>
            <w:r w:rsidR="009C245C" w:rsidRPr="0017410F">
              <w:rPr>
                <w:rFonts w:eastAsia="標楷體"/>
              </w:rPr>
              <w:t>一</w:t>
            </w:r>
            <w:r>
              <w:rPr>
                <w:rFonts w:eastAsia="標楷體" w:hint="eastAsia"/>
              </w:rPr>
              <w:t>)</w:t>
            </w:r>
            <w:r w:rsidR="009C245C" w:rsidRPr="0017410F">
              <w:rPr>
                <w:rFonts w:eastAsia="標楷體"/>
              </w:rPr>
              <w:t>脫退率，實際經驗至少提供</w:t>
            </w:r>
            <w:r w:rsidR="009C245C" w:rsidRPr="0017410F">
              <w:rPr>
                <w:rFonts w:eastAsia="標楷體"/>
              </w:rPr>
              <w:t>3</w:t>
            </w:r>
            <w:r w:rsidR="009C245C" w:rsidRPr="0017410F">
              <w:rPr>
                <w:rFonts w:eastAsia="標楷體"/>
              </w:rPr>
              <w:t>年</w:t>
            </w:r>
            <w:r>
              <w:rPr>
                <w:rFonts w:eastAsia="標楷體" w:hint="eastAsia"/>
              </w:rPr>
              <w:t>(</w:t>
            </w:r>
            <w:r w:rsidR="009C245C" w:rsidRPr="0017410F">
              <w:rPr>
                <w:rFonts w:eastAsia="標楷體"/>
              </w:rPr>
              <w:t>含</w:t>
            </w:r>
            <w:r>
              <w:rPr>
                <w:rFonts w:eastAsia="標楷體" w:hint="eastAsia"/>
              </w:rPr>
              <w:t>)</w:t>
            </w:r>
            <w:r w:rsidR="009C245C" w:rsidRPr="0017410F">
              <w:rPr>
                <w:rFonts w:eastAsia="標楷體"/>
              </w:rPr>
              <w:t>以上觀察期間之各年度之數值與合計值。</w:t>
            </w:r>
          </w:p>
          <w:p w:rsidR="009C245C" w:rsidRPr="0017410F" w:rsidRDefault="0017410F" w:rsidP="0017410F">
            <w:pPr>
              <w:kinsoku w:val="0"/>
              <w:overflowPunct w:val="0"/>
              <w:spacing w:line="440" w:lineRule="exact"/>
              <w:ind w:leftChars="309" w:left="1193" w:hangingChars="188" w:hanging="451"/>
              <w:jc w:val="both"/>
              <w:textAlignment w:val="center"/>
              <w:rPr>
                <w:rFonts w:eastAsia="標楷體"/>
              </w:rPr>
            </w:pPr>
            <w:r>
              <w:rPr>
                <w:rFonts w:eastAsia="標楷體" w:hint="eastAsia"/>
              </w:rPr>
              <w:t>(</w:t>
            </w:r>
            <w:r w:rsidR="009C245C" w:rsidRPr="0017410F">
              <w:rPr>
                <w:rFonts w:eastAsia="標楷體"/>
              </w:rPr>
              <w:t>二</w:t>
            </w:r>
            <w:r>
              <w:rPr>
                <w:rFonts w:eastAsia="標楷體" w:hint="eastAsia"/>
              </w:rPr>
              <w:t>)</w:t>
            </w:r>
            <w:r w:rsidR="009C245C" w:rsidRPr="0017410F">
              <w:rPr>
                <w:rFonts w:eastAsia="標楷體"/>
              </w:rPr>
              <w:t>死亡率，實際經驗提供足夠觀察期間合併後之</w:t>
            </w:r>
            <w:r w:rsidR="009C245C" w:rsidRPr="0017410F">
              <w:rPr>
                <w:rFonts w:eastAsia="標楷體"/>
              </w:rPr>
              <w:t>10</w:t>
            </w:r>
            <w:r w:rsidR="009C245C" w:rsidRPr="0017410F">
              <w:rPr>
                <w:rFonts w:eastAsia="標楷體"/>
              </w:rPr>
              <w:t>年</w:t>
            </w:r>
            <w:r>
              <w:rPr>
                <w:rFonts w:eastAsia="標楷體" w:hint="eastAsia"/>
              </w:rPr>
              <w:t>(</w:t>
            </w:r>
            <w:r w:rsidR="009C245C" w:rsidRPr="0017410F">
              <w:rPr>
                <w:rFonts w:eastAsia="標楷體"/>
              </w:rPr>
              <w:t>含</w:t>
            </w:r>
            <w:r>
              <w:rPr>
                <w:rFonts w:eastAsia="標楷體" w:hint="eastAsia"/>
              </w:rPr>
              <w:t>)</w:t>
            </w:r>
            <w:r w:rsidR="009C245C" w:rsidRPr="0017410F">
              <w:rPr>
                <w:rFonts w:eastAsia="標楷體"/>
              </w:rPr>
              <w:t>以上保單年度數值。</w:t>
            </w:r>
          </w:p>
          <w:p w:rsidR="009C245C" w:rsidRPr="0017410F" w:rsidRDefault="0017410F" w:rsidP="0017410F">
            <w:pPr>
              <w:kinsoku w:val="0"/>
              <w:overflowPunct w:val="0"/>
              <w:spacing w:line="440" w:lineRule="exact"/>
              <w:ind w:leftChars="309" w:left="1193" w:hangingChars="188" w:hanging="451"/>
              <w:jc w:val="both"/>
              <w:textAlignment w:val="center"/>
              <w:rPr>
                <w:rFonts w:eastAsia="標楷體"/>
              </w:rPr>
            </w:pPr>
            <w:r>
              <w:rPr>
                <w:rFonts w:eastAsia="標楷體" w:hint="eastAsia"/>
              </w:rPr>
              <w:t>(</w:t>
            </w:r>
            <w:r w:rsidR="009C245C" w:rsidRPr="0017410F">
              <w:rPr>
                <w:rFonts w:eastAsia="標楷體"/>
              </w:rPr>
              <w:t>三</w:t>
            </w:r>
            <w:r>
              <w:rPr>
                <w:rFonts w:eastAsia="標楷體" w:hint="eastAsia"/>
              </w:rPr>
              <w:t>)</w:t>
            </w:r>
            <w:r w:rsidR="009C245C" w:rsidRPr="0017410F">
              <w:rPr>
                <w:rFonts w:eastAsia="標楷體"/>
              </w:rPr>
              <w:t>罹病率，實際經驗至少提供</w:t>
            </w:r>
            <w:r w:rsidR="009C245C" w:rsidRPr="0017410F">
              <w:rPr>
                <w:rFonts w:eastAsia="標楷體"/>
              </w:rPr>
              <w:t>10</w:t>
            </w:r>
            <w:r w:rsidR="009C245C" w:rsidRPr="0017410F">
              <w:rPr>
                <w:rFonts w:eastAsia="標楷體"/>
              </w:rPr>
              <w:t>年</w:t>
            </w:r>
            <w:r>
              <w:rPr>
                <w:rFonts w:eastAsia="標楷體" w:hint="eastAsia"/>
              </w:rPr>
              <w:t>(</w:t>
            </w:r>
            <w:r w:rsidR="009C245C" w:rsidRPr="0017410F">
              <w:rPr>
                <w:rFonts w:eastAsia="標楷體"/>
              </w:rPr>
              <w:t>含</w:t>
            </w:r>
            <w:r>
              <w:rPr>
                <w:rFonts w:eastAsia="標楷體" w:hint="eastAsia"/>
              </w:rPr>
              <w:t>)</w:t>
            </w:r>
            <w:r w:rsidR="009C245C" w:rsidRPr="0017410F">
              <w:rPr>
                <w:rFonts w:eastAsia="標楷體"/>
              </w:rPr>
              <w:t>以上觀察期間及保單年度之數值與合計值</w:t>
            </w:r>
            <w:r>
              <w:rPr>
                <w:rFonts w:eastAsia="標楷體" w:hint="eastAsia"/>
              </w:rPr>
              <w:t>(</w:t>
            </w:r>
            <w:r w:rsidR="009C245C" w:rsidRPr="0017410F">
              <w:rPr>
                <w:rFonts w:eastAsia="標楷體"/>
              </w:rPr>
              <w:t>含分子及分母之數值</w:t>
            </w:r>
            <w:r>
              <w:rPr>
                <w:rFonts w:eastAsia="標楷體" w:hint="eastAsia"/>
              </w:rPr>
              <w:t>)</w:t>
            </w:r>
            <w:r w:rsidR="009C245C" w:rsidRPr="0017410F">
              <w:rPr>
                <w:rFonts w:eastAsia="標楷體"/>
              </w:rPr>
              <w:t>。</w:t>
            </w:r>
          </w:p>
          <w:p w:rsidR="009C245C" w:rsidRPr="0017410F" w:rsidRDefault="00F46916" w:rsidP="00F46916">
            <w:pPr>
              <w:kinsoku w:val="0"/>
              <w:overflowPunct w:val="0"/>
              <w:spacing w:line="440" w:lineRule="exact"/>
              <w:ind w:leftChars="309" w:left="1193" w:hangingChars="188" w:hanging="451"/>
              <w:jc w:val="both"/>
              <w:textAlignment w:val="center"/>
              <w:rPr>
                <w:rFonts w:eastAsia="標楷體"/>
              </w:rPr>
            </w:pPr>
            <w:r>
              <w:rPr>
                <w:rFonts w:eastAsia="標楷體" w:hint="eastAsia"/>
              </w:rPr>
              <w:t>(</w:t>
            </w:r>
            <w:r w:rsidR="009C245C" w:rsidRPr="0017410F">
              <w:rPr>
                <w:rFonts w:eastAsia="標楷體"/>
              </w:rPr>
              <w:t>四</w:t>
            </w:r>
            <w:r>
              <w:rPr>
                <w:rFonts w:eastAsia="標楷體" w:hint="eastAsia"/>
              </w:rPr>
              <w:t>)</w:t>
            </w:r>
            <w:r w:rsidR="009C245C" w:rsidRPr="0017410F">
              <w:rPr>
                <w:rFonts w:eastAsia="標楷體"/>
              </w:rPr>
              <w:t>費用</w:t>
            </w:r>
            <w:r w:rsidR="0017410F">
              <w:rPr>
                <w:rFonts w:eastAsia="標楷體" w:hint="eastAsia"/>
              </w:rPr>
              <w:t>(</w:t>
            </w:r>
            <w:r w:rsidR="009C245C" w:rsidRPr="0017410F">
              <w:rPr>
                <w:rFonts w:eastAsia="標楷體"/>
              </w:rPr>
              <w:t>詳指定附表</w:t>
            </w:r>
            <w:r w:rsidR="009C245C" w:rsidRPr="0017410F">
              <w:rPr>
                <w:rFonts w:eastAsia="標楷體"/>
              </w:rPr>
              <w:t>14</w:t>
            </w:r>
            <w:r w:rsidR="0017410F">
              <w:rPr>
                <w:rFonts w:eastAsia="標楷體" w:hint="eastAsia"/>
              </w:rPr>
              <w:t>)</w:t>
            </w:r>
            <w:r w:rsidR="009C245C" w:rsidRPr="0017410F">
              <w:rPr>
                <w:rFonts w:eastAsia="標楷體"/>
              </w:rPr>
              <w:t>。</w:t>
            </w:r>
          </w:p>
          <w:p w:rsidR="009C245C" w:rsidRPr="0017410F" w:rsidRDefault="00F46916" w:rsidP="00F46916">
            <w:pPr>
              <w:kinsoku w:val="0"/>
              <w:overflowPunct w:val="0"/>
              <w:spacing w:line="440" w:lineRule="exact"/>
              <w:ind w:leftChars="309" w:left="1193" w:hangingChars="188" w:hanging="451"/>
              <w:jc w:val="both"/>
              <w:textAlignment w:val="center"/>
              <w:rPr>
                <w:rFonts w:eastAsia="標楷體"/>
              </w:rPr>
            </w:pPr>
            <w:r>
              <w:rPr>
                <w:rFonts w:eastAsia="標楷體" w:hint="eastAsia"/>
              </w:rPr>
              <w:t>(</w:t>
            </w:r>
            <w:r w:rsidR="009C245C" w:rsidRPr="0017410F">
              <w:rPr>
                <w:rFonts w:eastAsia="標楷體"/>
              </w:rPr>
              <w:t>五</w:t>
            </w:r>
            <w:r>
              <w:rPr>
                <w:rFonts w:eastAsia="標楷體" w:hint="eastAsia"/>
              </w:rPr>
              <w:t>)</w:t>
            </w:r>
            <w:r w:rsidR="009C245C" w:rsidRPr="0017410F">
              <w:rPr>
                <w:rFonts w:eastAsia="標楷體"/>
              </w:rPr>
              <w:t>分紅，包含強制分紅及自由分紅。</w:t>
            </w:r>
          </w:p>
          <w:p w:rsidR="009C245C" w:rsidRPr="0017410F" w:rsidRDefault="00F46916" w:rsidP="00F46916">
            <w:pPr>
              <w:kinsoku w:val="0"/>
              <w:overflowPunct w:val="0"/>
              <w:spacing w:line="440" w:lineRule="exact"/>
              <w:ind w:leftChars="309" w:left="1193" w:hangingChars="188" w:hanging="451"/>
              <w:jc w:val="both"/>
              <w:textAlignment w:val="center"/>
              <w:rPr>
                <w:rFonts w:eastAsia="標楷體"/>
              </w:rPr>
            </w:pPr>
            <w:r>
              <w:rPr>
                <w:rFonts w:eastAsia="標楷體" w:hint="eastAsia"/>
              </w:rPr>
              <w:t>(</w:t>
            </w:r>
            <w:r w:rsidR="009C245C" w:rsidRPr="0017410F">
              <w:rPr>
                <w:rFonts w:eastAsia="標楷體"/>
              </w:rPr>
              <w:t>六</w:t>
            </w:r>
            <w:r>
              <w:rPr>
                <w:rFonts w:eastAsia="標楷體" w:hint="eastAsia"/>
              </w:rPr>
              <w:t>)</w:t>
            </w:r>
            <w:r w:rsidR="009C245C" w:rsidRPr="0017410F">
              <w:rPr>
                <w:rFonts w:eastAsia="標楷體"/>
              </w:rPr>
              <w:t>其他。</w:t>
            </w:r>
          </w:p>
          <w:p w:rsidR="009C245C" w:rsidRPr="0017410F" w:rsidRDefault="009C245C" w:rsidP="00E011C9">
            <w:pPr>
              <w:kinsoku w:val="0"/>
              <w:overflowPunct w:val="0"/>
              <w:spacing w:line="440" w:lineRule="exact"/>
              <w:ind w:leftChars="310" w:left="744"/>
              <w:jc w:val="both"/>
              <w:textAlignment w:val="center"/>
              <w:rPr>
                <w:rFonts w:eastAsia="標楷體"/>
              </w:rPr>
            </w:pPr>
            <w:r w:rsidRPr="0017410F">
              <w:rPr>
                <w:rFonts w:eastAsia="標楷體"/>
              </w:rPr>
              <w:t>前項第一款脫退率應分析保險商品因銷售方式導致保戶之</w:t>
            </w:r>
            <w:r w:rsidRPr="0017410F">
              <w:rPr>
                <w:rFonts w:eastAsia="標楷體"/>
                <w:u w:val="single"/>
              </w:rPr>
              <w:t>可能脫退情形，</w:t>
            </w:r>
            <w:r w:rsidR="00A32870" w:rsidRPr="0017410F">
              <w:rPr>
                <w:rFonts w:eastAsia="標楷體"/>
                <w:u w:val="single"/>
              </w:rPr>
              <w:t>包括考量商品特性分析繳費</w:t>
            </w:r>
            <w:r w:rsidR="00A32870" w:rsidRPr="0017410F">
              <w:rPr>
                <w:rFonts w:eastAsia="標楷體"/>
                <w:u w:val="single"/>
              </w:rPr>
              <w:lastRenderedPageBreak/>
              <w:t>年期、解約</w:t>
            </w:r>
            <w:r w:rsidR="008B4DA6" w:rsidRPr="0017410F">
              <w:rPr>
                <w:rFonts w:eastAsia="標楷體"/>
                <w:u w:val="single"/>
              </w:rPr>
              <w:t>費用收取</w:t>
            </w:r>
            <w:r w:rsidR="00A32870" w:rsidRPr="0017410F">
              <w:rPr>
                <w:rFonts w:eastAsia="標楷體"/>
                <w:u w:val="single"/>
              </w:rPr>
              <w:t>年期及通路別等</w:t>
            </w:r>
            <w:r w:rsidRPr="0017410F">
              <w:rPr>
                <w:rFonts w:eastAsia="標楷體"/>
                <w:u w:val="single"/>
              </w:rPr>
              <w:t>脫退率經驗值，並應適切整併脫退率經驗值以擬定最適脫退率假設。</w:t>
            </w:r>
          </w:p>
          <w:p w:rsidR="009C245C" w:rsidRPr="0017410F" w:rsidRDefault="009C245C" w:rsidP="00E011C9">
            <w:pPr>
              <w:kinsoku w:val="0"/>
              <w:overflowPunct w:val="0"/>
              <w:spacing w:line="440" w:lineRule="exact"/>
              <w:ind w:leftChars="310" w:left="744"/>
              <w:jc w:val="both"/>
              <w:textAlignment w:val="center"/>
              <w:rPr>
                <w:rFonts w:eastAsia="標楷體"/>
              </w:rPr>
            </w:pPr>
            <w:r w:rsidRPr="0017410F">
              <w:rPr>
                <w:rFonts w:eastAsia="標楷體"/>
              </w:rPr>
              <w:t>前項第二款死亡率及第三款罹病率應考慮檢選效果消失後之狀況，且在考慮未來發展趨勢時，應排除新契約檢選效果之影響，以訂定最適精算假設，並應說明其評估方法及相關依據。</w:t>
            </w:r>
          </w:p>
          <w:p w:rsidR="009C245C" w:rsidRPr="0017410F" w:rsidRDefault="009C245C" w:rsidP="00E011C9">
            <w:pPr>
              <w:kinsoku w:val="0"/>
              <w:overflowPunct w:val="0"/>
              <w:spacing w:line="440" w:lineRule="exact"/>
              <w:ind w:leftChars="310" w:left="744"/>
              <w:jc w:val="both"/>
              <w:textAlignment w:val="center"/>
              <w:rPr>
                <w:rFonts w:eastAsia="標楷體"/>
              </w:rPr>
            </w:pPr>
            <w:r w:rsidRPr="0017410F">
              <w:rPr>
                <w:rFonts w:eastAsia="標楷體"/>
              </w:rPr>
              <w:t>如因銷售期間不足第一項第一款至第三款規定之年數者，則應提供最長之統計期間。</w:t>
            </w:r>
          </w:p>
        </w:tc>
        <w:tc>
          <w:tcPr>
            <w:tcW w:w="3827" w:type="dxa"/>
          </w:tcPr>
          <w:p w:rsidR="009C245C" w:rsidRPr="0017410F" w:rsidRDefault="009C245C" w:rsidP="00E011C9">
            <w:pPr>
              <w:kinsoku w:val="0"/>
              <w:overflowPunct w:val="0"/>
              <w:spacing w:line="440" w:lineRule="exact"/>
              <w:ind w:left="744" w:hangingChars="310" w:hanging="744"/>
              <w:jc w:val="both"/>
              <w:textAlignment w:val="center"/>
              <w:rPr>
                <w:rFonts w:eastAsia="標楷體"/>
              </w:rPr>
            </w:pPr>
            <w:r w:rsidRPr="0017410F">
              <w:rPr>
                <w:rFonts w:eastAsia="標楷體"/>
              </w:rPr>
              <w:lastRenderedPageBreak/>
              <w:t>十五、簽證精算人員應提供下列各款精算假設之數值及其依據，且檢附在相同比較基礎下精算假設與過去實際經驗之對照表，並說明其合理性。</w:t>
            </w:r>
          </w:p>
          <w:p w:rsidR="009C245C" w:rsidRPr="0017410F" w:rsidRDefault="00F46916" w:rsidP="00F46916">
            <w:pPr>
              <w:kinsoku w:val="0"/>
              <w:overflowPunct w:val="0"/>
              <w:spacing w:line="440" w:lineRule="exact"/>
              <w:ind w:leftChars="309" w:left="1193" w:hangingChars="188" w:hanging="451"/>
              <w:jc w:val="both"/>
              <w:textAlignment w:val="center"/>
              <w:rPr>
                <w:rFonts w:eastAsia="標楷體"/>
              </w:rPr>
            </w:pPr>
            <w:r>
              <w:rPr>
                <w:rFonts w:eastAsia="標楷體" w:hint="eastAsia"/>
              </w:rPr>
              <w:t>(</w:t>
            </w:r>
            <w:r w:rsidR="009C245C" w:rsidRPr="0017410F">
              <w:rPr>
                <w:rFonts w:eastAsia="標楷體"/>
              </w:rPr>
              <w:t>一</w:t>
            </w:r>
            <w:r>
              <w:rPr>
                <w:rFonts w:eastAsia="標楷體" w:hint="eastAsia"/>
              </w:rPr>
              <w:t>)</w:t>
            </w:r>
            <w:r w:rsidR="009C245C" w:rsidRPr="0017410F">
              <w:rPr>
                <w:rFonts w:eastAsia="標楷體"/>
              </w:rPr>
              <w:t>脫退率，實際經驗至少提供</w:t>
            </w:r>
            <w:r w:rsidR="009C245C" w:rsidRPr="0017410F">
              <w:rPr>
                <w:rFonts w:eastAsia="標楷體"/>
              </w:rPr>
              <w:t>3</w:t>
            </w:r>
            <w:r w:rsidR="009C245C" w:rsidRPr="0017410F">
              <w:rPr>
                <w:rFonts w:eastAsia="標楷體"/>
              </w:rPr>
              <w:t>年</w:t>
            </w:r>
            <w:r w:rsidR="0017410F">
              <w:rPr>
                <w:rFonts w:eastAsia="標楷體" w:hint="eastAsia"/>
              </w:rPr>
              <w:t>(</w:t>
            </w:r>
            <w:r w:rsidR="009C245C" w:rsidRPr="0017410F">
              <w:rPr>
                <w:rFonts w:eastAsia="標楷體"/>
              </w:rPr>
              <w:t>含</w:t>
            </w:r>
            <w:r w:rsidR="0017410F">
              <w:rPr>
                <w:rFonts w:eastAsia="標楷體" w:hint="eastAsia"/>
              </w:rPr>
              <w:t>)</w:t>
            </w:r>
            <w:r w:rsidR="009C245C" w:rsidRPr="0017410F">
              <w:rPr>
                <w:rFonts w:eastAsia="標楷體"/>
              </w:rPr>
              <w:t>以上觀察期間之各年度之數值與合計值。</w:t>
            </w:r>
          </w:p>
          <w:p w:rsidR="009C245C" w:rsidRPr="0017410F" w:rsidRDefault="00F46916" w:rsidP="00F46916">
            <w:pPr>
              <w:kinsoku w:val="0"/>
              <w:overflowPunct w:val="0"/>
              <w:spacing w:line="440" w:lineRule="exact"/>
              <w:ind w:leftChars="309" w:left="1193" w:hangingChars="188" w:hanging="451"/>
              <w:jc w:val="both"/>
              <w:textAlignment w:val="center"/>
              <w:rPr>
                <w:rFonts w:eastAsia="標楷體"/>
              </w:rPr>
            </w:pPr>
            <w:r>
              <w:rPr>
                <w:rFonts w:eastAsia="標楷體" w:hint="eastAsia"/>
              </w:rPr>
              <w:t>(</w:t>
            </w:r>
            <w:r w:rsidR="009C245C" w:rsidRPr="0017410F">
              <w:rPr>
                <w:rFonts w:eastAsia="標楷體"/>
              </w:rPr>
              <w:t>二</w:t>
            </w:r>
            <w:r>
              <w:rPr>
                <w:rFonts w:eastAsia="標楷體" w:hint="eastAsia"/>
              </w:rPr>
              <w:t>)</w:t>
            </w:r>
            <w:r w:rsidR="009C245C" w:rsidRPr="0017410F">
              <w:rPr>
                <w:rFonts w:eastAsia="標楷體"/>
              </w:rPr>
              <w:t>死亡率，實際經驗提供足夠觀察期間合併後之</w:t>
            </w:r>
            <w:r w:rsidR="009C245C" w:rsidRPr="0017410F">
              <w:rPr>
                <w:rFonts w:eastAsia="標楷體"/>
              </w:rPr>
              <w:t>10</w:t>
            </w:r>
            <w:r w:rsidR="009C245C" w:rsidRPr="0017410F">
              <w:rPr>
                <w:rFonts w:eastAsia="標楷體"/>
              </w:rPr>
              <w:t>年</w:t>
            </w:r>
            <w:r>
              <w:rPr>
                <w:rFonts w:eastAsia="標楷體" w:hint="eastAsia"/>
              </w:rPr>
              <w:t>(</w:t>
            </w:r>
            <w:r w:rsidR="009C245C" w:rsidRPr="0017410F">
              <w:rPr>
                <w:rFonts w:eastAsia="標楷體"/>
              </w:rPr>
              <w:t>含</w:t>
            </w:r>
            <w:r>
              <w:rPr>
                <w:rFonts w:eastAsia="標楷體" w:hint="eastAsia"/>
              </w:rPr>
              <w:t>)</w:t>
            </w:r>
            <w:r w:rsidR="009C245C" w:rsidRPr="0017410F">
              <w:rPr>
                <w:rFonts w:eastAsia="標楷體"/>
              </w:rPr>
              <w:t>以上保單年度數值。</w:t>
            </w:r>
          </w:p>
          <w:p w:rsidR="009C245C" w:rsidRPr="0017410F" w:rsidRDefault="00F46916" w:rsidP="00F46916">
            <w:pPr>
              <w:kinsoku w:val="0"/>
              <w:overflowPunct w:val="0"/>
              <w:spacing w:line="440" w:lineRule="exact"/>
              <w:ind w:leftChars="309" w:left="1193" w:hangingChars="188" w:hanging="451"/>
              <w:jc w:val="both"/>
              <w:textAlignment w:val="center"/>
              <w:rPr>
                <w:rFonts w:eastAsia="標楷體"/>
              </w:rPr>
            </w:pPr>
            <w:r>
              <w:rPr>
                <w:rFonts w:eastAsia="標楷體" w:hint="eastAsia"/>
              </w:rPr>
              <w:t>(</w:t>
            </w:r>
            <w:r w:rsidR="009C245C" w:rsidRPr="0017410F">
              <w:rPr>
                <w:rFonts w:eastAsia="標楷體"/>
              </w:rPr>
              <w:t>三</w:t>
            </w:r>
            <w:r>
              <w:rPr>
                <w:rFonts w:eastAsia="標楷體" w:hint="eastAsia"/>
              </w:rPr>
              <w:t>)</w:t>
            </w:r>
            <w:r w:rsidR="009C245C" w:rsidRPr="0017410F">
              <w:rPr>
                <w:rFonts w:eastAsia="標楷體"/>
              </w:rPr>
              <w:t>罹病率，實際經驗至少提供</w:t>
            </w:r>
            <w:r w:rsidR="009C245C" w:rsidRPr="0017410F">
              <w:rPr>
                <w:rFonts w:eastAsia="標楷體"/>
              </w:rPr>
              <w:t>10</w:t>
            </w:r>
            <w:r w:rsidR="009C245C" w:rsidRPr="0017410F">
              <w:rPr>
                <w:rFonts w:eastAsia="標楷體"/>
              </w:rPr>
              <w:t>年</w:t>
            </w:r>
            <w:r>
              <w:rPr>
                <w:rFonts w:eastAsia="標楷體" w:hint="eastAsia"/>
              </w:rPr>
              <w:t>(</w:t>
            </w:r>
            <w:r w:rsidR="009C245C" w:rsidRPr="0017410F">
              <w:rPr>
                <w:rFonts w:eastAsia="標楷體"/>
              </w:rPr>
              <w:t>含</w:t>
            </w:r>
            <w:r>
              <w:rPr>
                <w:rFonts w:eastAsia="標楷體" w:hint="eastAsia"/>
              </w:rPr>
              <w:t>)</w:t>
            </w:r>
            <w:r w:rsidR="009C245C" w:rsidRPr="0017410F">
              <w:rPr>
                <w:rFonts w:eastAsia="標楷體"/>
              </w:rPr>
              <w:t>以上觀察期間及保單年度之數值與合計值</w:t>
            </w:r>
            <w:r>
              <w:rPr>
                <w:rFonts w:eastAsia="標楷體" w:hint="eastAsia"/>
              </w:rPr>
              <w:t>(</w:t>
            </w:r>
            <w:r w:rsidR="009C245C" w:rsidRPr="0017410F">
              <w:rPr>
                <w:rFonts w:eastAsia="標楷體"/>
              </w:rPr>
              <w:t>含分子及分母之數值</w:t>
            </w:r>
            <w:r>
              <w:rPr>
                <w:rFonts w:eastAsia="標楷體" w:hint="eastAsia"/>
              </w:rPr>
              <w:t>)</w:t>
            </w:r>
            <w:r w:rsidR="009C245C" w:rsidRPr="0017410F">
              <w:rPr>
                <w:rFonts w:eastAsia="標楷體"/>
              </w:rPr>
              <w:t>。</w:t>
            </w:r>
          </w:p>
          <w:p w:rsidR="009C245C" w:rsidRPr="0017410F" w:rsidRDefault="00F46916" w:rsidP="00F46916">
            <w:pPr>
              <w:kinsoku w:val="0"/>
              <w:overflowPunct w:val="0"/>
              <w:spacing w:line="440" w:lineRule="exact"/>
              <w:ind w:leftChars="309" w:left="1193" w:hangingChars="188" w:hanging="451"/>
              <w:jc w:val="both"/>
              <w:textAlignment w:val="center"/>
              <w:rPr>
                <w:rFonts w:eastAsia="標楷體"/>
              </w:rPr>
            </w:pPr>
            <w:r>
              <w:rPr>
                <w:rFonts w:eastAsia="標楷體" w:hint="eastAsia"/>
              </w:rPr>
              <w:t>(</w:t>
            </w:r>
            <w:r w:rsidR="009C245C" w:rsidRPr="0017410F">
              <w:rPr>
                <w:rFonts w:eastAsia="標楷體"/>
              </w:rPr>
              <w:t>四</w:t>
            </w:r>
            <w:r>
              <w:rPr>
                <w:rFonts w:eastAsia="標楷體" w:hint="eastAsia"/>
              </w:rPr>
              <w:t>)</w:t>
            </w:r>
            <w:r w:rsidR="009C245C" w:rsidRPr="0017410F">
              <w:rPr>
                <w:rFonts w:eastAsia="標楷體"/>
              </w:rPr>
              <w:t>費用</w:t>
            </w:r>
            <w:r>
              <w:rPr>
                <w:rFonts w:eastAsia="標楷體" w:hint="eastAsia"/>
              </w:rPr>
              <w:t>(</w:t>
            </w:r>
            <w:r w:rsidR="009C245C" w:rsidRPr="0017410F">
              <w:rPr>
                <w:rFonts w:eastAsia="標楷體"/>
              </w:rPr>
              <w:t>詳指定附表</w:t>
            </w:r>
            <w:r w:rsidR="009C245C" w:rsidRPr="0017410F">
              <w:rPr>
                <w:rFonts w:eastAsia="標楷體"/>
              </w:rPr>
              <w:t>14</w:t>
            </w:r>
            <w:r>
              <w:rPr>
                <w:rFonts w:eastAsia="標楷體" w:hint="eastAsia"/>
              </w:rPr>
              <w:t>)</w:t>
            </w:r>
            <w:r w:rsidR="009C245C" w:rsidRPr="0017410F">
              <w:rPr>
                <w:rFonts w:eastAsia="標楷體"/>
              </w:rPr>
              <w:t>。</w:t>
            </w:r>
          </w:p>
          <w:p w:rsidR="009C245C" w:rsidRPr="0017410F" w:rsidRDefault="00F46916" w:rsidP="00F46916">
            <w:pPr>
              <w:kinsoku w:val="0"/>
              <w:overflowPunct w:val="0"/>
              <w:spacing w:line="440" w:lineRule="exact"/>
              <w:ind w:leftChars="309" w:left="1193" w:hangingChars="188" w:hanging="451"/>
              <w:jc w:val="both"/>
              <w:textAlignment w:val="center"/>
              <w:rPr>
                <w:rFonts w:eastAsia="標楷體"/>
              </w:rPr>
            </w:pPr>
            <w:r>
              <w:rPr>
                <w:rFonts w:eastAsia="標楷體" w:hint="eastAsia"/>
              </w:rPr>
              <w:t>(</w:t>
            </w:r>
            <w:r w:rsidR="009C245C" w:rsidRPr="0017410F">
              <w:rPr>
                <w:rFonts w:eastAsia="標楷體"/>
              </w:rPr>
              <w:t>五</w:t>
            </w:r>
            <w:r>
              <w:rPr>
                <w:rFonts w:eastAsia="標楷體" w:hint="eastAsia"/>
              </w:rPr>
              <w:t>)</w:t>
            </w:r>
            <w:r w:rsidR="009C245C" w:rsidRPr="0017410F">
              <w:rPr>
                <w:rFonts w:eastAsia="標楷體"/>
              </w:rPr>
              <w:t>分紅，包含強制分紅及自由分紅。</w:t>
            </w:r>
          </w:p>
          <w:p w:rsidR="009C245C" w:rsidRPr="0017410F" w:rsidRDefault="00F46916" w:rsidP="00F46916">
            <w:pPr>
              <w:kinsoku w:val="0"/>
              <w:overflowPunct w:val="0"/>
              <w:spacing w:line="440" w:lineRule="exact"/>
              <w:ind w:leftChars="309" w:left="1193" w:hangingChars="188" w:hanging="451"/>
              <w:jc w:val="both"/>
              <w:textAlignment w:val="center"/>
              <w:rPr>
                <w:rFonts w:eastAsia="標楷體"/>
              </w:rPr>
            </w:pPr>
            <w:r>
              <w:rPr>
                <w:rFonts w:eastAsia="標楷體" w:hint="eastAsia"/>
              </w:rPr>
              <w:t>(</w:t>
            </w:r>
            <w:r w:rsidR="009C245C" w:rsidRPr="0017410F">
              <w:rPr>
                <w:rFonts w:eastAsia="標楷體"/>
              </w:rPr>
              <w:t>六</w:t>
            </w:r>
            <w:r>
              <w:rPr>
                <w:rFonts w:eastAsia="標楷體" w:hint="eastAsia"/>
              </w:rPr>
              <w:t>)</w:t>
            </w:r>
            <w:r w:rsidR="009C245C" w:rsidRPr="0017410F">
              <w:rPr>
                <w:rFonts w:eastAsia="標楷體"/>
              </w:rPr>
              <w:t>其他。</w:t>
            </w:r>
          </w:p>
          <w:p w:rsidR="009C245C" w:rsidRPr="0017410F" w:rsidRDefault="009C245C" w:rsidP="00E011C9">
            <w:pPr>
              <w:kinsoku w:val="0"/>
              <w:overflowPunct w:val="0"/>
              <w:spacing w:line="440" w:lineRule="exact"/>
              <w:ind w:leftChars="310" w:left="744"/>
              <w:jc w:val="both"/>
              <w:textAlignment w:val="center"/>
              <w:rPr>
                <w:rFonts w:eastAsia="標楷體"/>
                <w:u w:val="single"/>
              </w:rPr>
            </w:pPr>
            <w:r w:rsidRPr="0017410F">
              <w:rPr>
                <w:rFonts w:eastAsia="標楷體"/>
              </w:rPr>
              <w:t>前項第一款脫退率應分析保險商品因銷售方式導致保戶之</w:t>
            </w:r>
            <w:r w:rsidRPr="0017410F">
              <w:rPr>
                <w:rFonts w:eastAsia="標楷體"/>
                <w:u w:val="single"/>
              </w:rPr>
              <w:t>脫退行為，據此評估特定年度之可能脫退情</w:t>
            </w:r>
            <w:r w:rsidRPr="0017410F">
              <w:rPr>
                <w:rFonts w:eastAsia="標楷體"/>
                <w:u w:val="single"/>
              </w:rPr>
              <w:lastRenderedPageBreak/>
              <w:t>形，以訂定最適脫退率假設，並應說明分析方法及相關依據。</w:t>
            </w:r>
          </w:p>
          <w:p w:rsidR="009C245C" w:rsidRDefault="009C245C" w:rsidP="00E011C9">
            <w:pPr>
              <w:kinsoku w:val="0"/>
              <w:overflowPunct w:val="0"/>
              <w:spacing w:line="440" w:lineRule="exact"/>
              <w:ind w:leftChars="310" w:left="744"/>
              <w:jc w:val="both"/>
              <w:textAlignment w:val="center"/>
              <w:rPr>
                <w:rFonts w:eastAsia="標楷體"/>
                <w:u w:val="single"/>
              </w:rPr>
            </w:pPr>
          </w:p>
          <w:p w:rsidR="00F46916" w:rsidRPr="0017410F" w:rsidRDefault="00F46916" w:rsidP="00E011C9">
            <w:pPr>
              <w:kinsoku w:val="0"/>
              <w:overflowPunct w:val="0"/>
              <w:spacing w:line="440" w:lineRule="exact"/>
              <w:ind w:leftChars="310" w:left="744"/>
              <w:jc w:val="both"/>
              <w:textAlignment w:val="center"/>
              <w:rPr>
                <w:rFonts w:eastAsia="標楷體"/>
                <w:u w:val="single"/>
              </w:rPr>
            </w:pPr>
          </w:p>
          <w:p w:rsidR="009C245C" w:rsidRPr="0017410F" w:rsidRDefault="009C245C" w:rsidP="00E011C9">
            <w:pPr>
              <w:kinsoku w:val="0"/>
              <w:overflowPunct w:val="0"/>
              <w:spacing w:line="440" w:lineRule="exact"/>
              <w:ind w:leftChars="310" w:left="744"/>
              <w:jc w:val="both"/>
              <w:textAlignment w:val="center"/>
              <w:rPr>
                <w:rFonts w:eastAsia="標楷體"/>
              </w:rPr>
            </w:pPr>
            <w:r w:rsidRPr="0017410F">
              <w:rPr>
                <w:rFonts w:eastAsia="標楷體"/>
              </w:rPr>
              <w:t>前項第二款死亡率及第三款罹病率應考慮檢選效果消失後之狀況，且在考慮未來發展趨勢時，應排除新契約檢選效果之影響，以訂定最適精算假設，並應說明其評估方法及相關依據。</w:t>
            </w:r>
          </w:p>
          <w:p w:rsidR="009C245C" w:rsidRPr="0017410F" w:rsidRDefault="009C245C" w:rsidP="00E011C9">
            <w:pPr>
              <w:kinsoku w:val="0"/>
              <w:overflowPunct w:val="0"/>
              <w:spacing w:line="440" w:lineRule="exact"/>
              <w:ind w:leftChars="310" w:left="744"/>
              <w:jc w:val="both"/>
              <w:textAlignment w:val="center"/>
              <w:rPr>
                <w:rFonts w:eastAsia="標楷體"/>
              </w:rPr>
            </w:pPr>
            <w:r w:rsidRPr="0017410F">
              <w:rPr>
                <w:rFonts w:eastAsia="標楷體"/>
              </w:rPr>
              <w:t>如因銷售期間不足第一項第一款至第三款規定之年數者，則應提供最長之統計期間。</w:t>
            </w:r>
          </w:p>
        </w:tc>
        <w:tc>
          <w:tcPr>
            <w:tcW w:w="1784" w:type="dxa"/>
          </w:tcPr>
          <w:p w:rsidR="00860091" w:rsidRPr="0017410F" w:rsidRDefault="00A32870" w:rsidP="008B0148">
            <w:pPr>
              <w:kinsoku w:val="0"/>
              <w:overflowPunct w:val="0"/>
              <w:spacing w:line="440" w:lineRule="exact"/>
              <w:ind w:leftChars="13" w:left="32" w:hanging="1"/>
              <w:jc w:val="both"/>
              <w:textAlignment w:val="center"/>
              <w:rPr>
                <w:rFonts w:eastAsia="標楷體"/>
              </w:rPr>
            </w:pPr>
            <w:r w:rsidRPr="0017410F">
              <w:rPr>
                <w:rFonts w:eastAsia="標楷體"/>
              </w:rPr>
              <w:lastRenderedPageBreak/>
              <w:t>為加強脫退率最適假設之擬定，爰</w:t>
            </w:r>
            <w:r w:rsidR="001D7BC8">
              <w:rPr>
                <w:rFonts w:eastAsia="標楷體" w:hint="eastAsia"/>
              </w:rPr>
              <w:t>於</w:t>
            </w:r>
            <w:r w:rsidRPr="0017410F">
              <w:rPr>
                <w:rFonts w:eastAsia="標楷體"/>
              </w:rPr>
              <w:t>第二項</w:t>
            </w:r>
            <w:r w:rsidR="001D7BC8">
              <w:rPr>
                <w:rFonts w:eastAsia="標楷體" w:hint="eastAsia"/>
              </w:rPr>
              <w:t>增</w:t>
            </w:r>
            <w:r w:rsidR="008B0148">
              <w:rPr>
                <w:rFonts w:eastAsia="標楷體" w:hint="eastAsia"/>
              </w:rPr>
              <w:t>列要求</w:t>
            </w:r>
            <w:r w:rsidR="001D7BC8" w:rsidRPr="001D7BC8">
              <w:rPr>
                <w:rFonts w:eastAsia="標楷體"/>
              </w:rPr>
              <w:t>可能脫退情形</w:t>
            </w:r>
            <w:r w:rsidR="001D7BC8">
              <w:rPr>
                <w:rFonts w:eastAsia="標楷體" w:hint="eastAsia"/>
              </w:rPr>
              <w:t>應</w:t>
            </w:r>
            <w:r w:rsidRPr="0017410F">
              <w:rPr>
                <w:rFonts w:eastAsia="標楷體"/>
              </w:rPr>
              <w:t>考量商品特性進行脫退率經驗分析</w:t>
            </w:r>
            <w:r w:rsidR="001D7BC8">
              <w:rPr>
                <w:rFonts w:eastAsia="標楷體" w:hint="eastAsia"/>
              </w:rPr>
              <w:t>，</w:t>
            </w:r>
            <w:r w:rsidRPr="0017410F">
              <w:rPr>
                <w:rFonts w:eastAsia="標楷體"/>
              </w:rPr>
              <w:t>並適切整併脫退率經驗值以擬定最適脫退率假設。</w:t>
            </w:r>
          </w:p>
        </w:tc>
      </w:tr>
      <w:tr w:rsidR="0017410F" w:rsidRPr="0017410F" w:rsidTr="00D83DCB">
        <w:trPr>
          <w:trHeight w:val="20"/>
        </w:trPr>
        <w:tc>
          <w:tcPr>
            <w:tcW w:w="3828" w:type="dxa"/>
          </w:tcPr>
          <w:p w:rsidR="009C245C" w:rsidRPr="0017410F" w:rsidRDefault="009C245C" w:rsidP="00E011C9">
            <w:pPr>
              <w:kinsoku w:val="0"/>
              <w:overflowPunct w:val="0"/>
              <w:spacing w:line="440" w:lineRule="exact"/>
              <w:ind w:left="744" w:hangingChars="310" w:hanging="744"/>
              <w:jc w:val="both"/>
              <w:textAlignment w:val="center"/>
              <w:rPr>
                <w:rFonts w:eastAsia="標楷體"/>
              </w:rPr>
            </w:pPr>
            <w:r w:rsidRPr="0017410F">
              <w:rPr>
                <w:rFonts w:eastAsia="標楷體"/>
              </w:rPr>
              <w:t>第四章、準備金適足性</w:t>
            </w:r>
          </w:p>
        </w:tc>
        <w:tc>
          <w:tcPr>
            <w:tcW w:w="3827" w:type="dxa"/>
          </w:tcPr>
          <w:p w:rsidR="009C245C" w:rsidRPr="0017410F" w:rsidRDefault="009C245C" w:rsidP="00E011C9">
            <w:pPr>
              <w:kinsoku w:val="0"/>
              <w:overflowPunct w:val="0"/>
              <w:spacing w:line="440" w:lineRule="exact"/>
              <w:ind w:left="744" w:hangingChars="310" w:hanging="744"/>
              <w:jc w:val="both"/>
              <w:textAlignment w:val="center"/>
              <w:rPr>
                <w:rFonts w:eastAsia="標楷體"/>
              </w:rPr>
            </w:pPr>
            <w:r w:rsidRPr="0017410F">
              <w:rPr>
                <w:rFonts w:eastAsia="標楷體"/>
              </w:rPr>
              <w:t>第四章、準備金適足性</w:t>
            </w:r>
          </w:p>
        </w:tc>
        <w:tc>
          <w:tcPr>
            <w:tcW w:w="1784" w:type="dxa"/>
            <w:vAlign w:val="center"/>
          </w:tcPr>
          <w:p w:rsidR="009C245C" w:rsidRPr="0017410F" w:rsidRDefault="009C245C" w:rsidP="00E011C9">
            <w:pPr>
              <w:kinsoku w:val="0"/>
              <w:overflowPunct w:val="0"/>
              <w:spacing w:line="440" w:lineRule="exact"/>
              <w:jc w:val="both"/>
              <w:textAlignment w:val="center"/>
              <w:rPr>
                <w:rFonts w:eastAsia="標楷體"/>
              </w:rPr>
            </w:pPr>
          </w:p>
        </w:tc>
      </w:tr>
      <w:tr w:rsidR="0017410F" w:rsidRPr="0017410F" w:rsidTr="00D83DCB">
        <w:trPr>
          <w:trHeight w:val="20"/>
        </w:trPr>
        <w:tc>
          <w:tcPr>
            <w:tcW w:w="3828" w:type="dxa"/>
          </w:tcPr>
          <w:p w:rsidR="009C245C" w:rsidRPr="0017410F" w:rsidRDefault="009C245C" w:rsidP="007A008E">
            <w:pPr>
              <w:kinsoku w:val="0"/>
              <w:overflowPunct w:val="0"/>
              <w:spacing w:line="440" w:lineRule="exact"/>
              <w:ind w:left="744" w:hangingChars="310" w:hanging="744"/>
              <w:jc w:val="both"/>
              <w:textAlignment w:val="center"/>
              <w:rPr>
                <w:rFonts w:eastAsia="標楷體"/>
                <w:u w:val="single"/>
              </w:rPr>
            </w:pPr>
            <w:r w:rsidRPr="0017410F">
              <w:rPr>
                <w:rFonts w:eastAsia="標楷體"/>
              </w:rPr>
              <w:t>二十之一、簽證精算人員應提供準備金之查核方式及查核結果，包括檢視準備金提存流程、確認評估範圍之完整性及正確性、確認各項準備金計算方式之正確性及分析整體準備金之合理性與適法性等各項查核，並應</w:t>
            </w:r>
            <w:r w:rsidRPr="0017410F">
              <w:rPr>
                <w:rFonts w:eastAsia="標楷體"/>
                <w:u w:val="single"/>
              </w:rPr>
              <w:t>載明決算時有效契約總筆數、代表性樣本筆數及抽樣筆數，且應說明抽樣方式如何以</w:t>
            </w:r>
            <w:r w:rsidR="008B4DA6" w:rsidRPr="0017410F">
              <w:rPr>
                <w:rFonts w:eastAsia="標楷體"/>
                <w:u w:val="single"/>
              </w:rPr>
              <w:t>有</w:t>
            </w:r>
            <w:r w:rsidRPr="0017410F">
              <w:rPr>
                <w:rFonts w:eastAsia="標楷體"/>
                <w:u w:val="single"/>
              </w:rPr>
              <w:t>系統性</w:t>
            </w:r>
            <w:r w:rsidR="008B4DA6" w:rsidRPr="0017410F">
              <w:rPr>
                <w:rFonts w:eastAsia="標楷體"/>
                <w:u w:val="single"/>
              </w:rPr>
              <w:t>地</w:t>
            </w:r>
            <w:r w:rsidRPr="0017410F">
              <w:rPr>
                <w:rFonts w:eastAsia="標楷體"/>
                <w:u w:val="single"/>
              </w:rPr>
              <w:lastRenderedPageBreak/>
              <w:t>達</w:t>
            </w:r>
            <w:r w:rsidR="008B4DA6" w:rsidRPr="0017410F">
              <w:rPr>
                <w:rFonts w:eastAsia="標楷體"/>
                <w:u w:val="single"/>
              </w:rPr>
              <w:t>到</w:t>
            </w:r>
            <w:r w:rsidRPr="0017410F">
              <w:rPr>
                <w:rFonts w:eastAsia="標楷體"/>
                <w:u w:val="single"/>
              </w:rPr>
              <w:t>足以涵蓋</w:t>
            </w:r>
            <w:r w:rsidR="00D30DC9" w:rsidRPr="0017410F">
              <w:rPr>
                <w:rFonts w:eastAsia="標楷體"/>
                <w:u w:val="single"/>
              </w:rPr>
              <w:t>代表性樣本，其中代表性樣本</w:t>
            </w:r>
            <w:r w:rsidR="00DE19B3" w:rsidRPr="0017410F">
              <w:rPr>
                <w:rFonts w:eastAsia="標楷體"/>
                <w:u w:val="single"/>
              </w:rPr>
              <w:t>應</w:t>
            </w:r>
            <w:r w:rsidR="00D30DC9" w:rsidRPr="0017410F">
              <w:rPr>
                <w:rFonts w:eastAsia="標楷體"/>
                <w:u w:val="single"/>
              </w:rPr>
              <w:t>考量不同商品、提存利率、保單狀態</w:t>
            </w:r>
            <w:r w:rsidR="0017410F">
              <w:rPr>
                <w:rFonts w:eastAsia="標楷體" w:hint="eastAsia"/>
                <w:u w:val="single"/>
              </w:rPr>
              <w:t>(</w:t>
            </w:r>
            <w:r w:rsidR="00D30DC9" w:rsidRPr="0017410F">
              <w:rPr>
                <w:rFonts w:eastAsia="標楷體"/>
                <w:u w:val="single"/>
              </w:rPr>
              <w:t>正常件、停效件、契變件、展期件及繳清件等</w:t>
            </w:r>
            <w:r w:rsidR="0017410F">
              <w:rPr>
                <w:rFonts w:eastAsia="標楷體" w:hint="eastAsia"/>
                <w:u w:val="single"/>
              </w:rPr>
              <w:t>)</w:t>
            </w:r>
            <w:r w:rsidR="00D30DC9" w:rsidRPr="0017410F">
              <w:rPr>
                <w:rFonts w:eastAsia="標楷體"/>
                <w:u w:val="single"/>
              </w:rPr>
              <w:t>、繳費狀態繳費期滿、豁免保費</w:t>
            </w:r>
            <w:r w:rsidR="00B91734" w:rsidRPr="0017410F">
              <w:rPr>
                <w:rFonts w:eastAsia="標楷體"/>
                <w:u w:val="single"/>
              </w:rPr>
              <w:t>、繳費中－</w:t>
            </w:r>
            <w:r w:rsidR="00D30DC9" w:rsidRPr="0017410F">
              <w:rPr>
                <w:rFonts w:eastAsia="標楷體"/>
                <w:u w:val="single"/>
              </w:rPr>
              <w:t>繳費年期、繳費別、繳費次數</w:t>
            </w:r>
            <w:r w:rsidR="0017410F">
              <w:rPr>
                <w:rFonts w:eastAsia="標楷體" w:hint="eastAsia"/>
                <w:u w:val="single"/>
              </w:rPr>
              <w:t>)</w:t>
            </w:r>
            <w:r w:rsidR="00D30DC9" w:rsidRPr="0017410F">
              <w:rPr>
                <w:rFonts w:eastAsia="標楷體"/>
                <w:u w:val="single"/>
              </w:rPr>
              <w:t>、理賠狀態</w:t>
            </w:r>
            <w:r w:rsidR="0017410F">
              <w:rPr>
                <w:rFonts w:eastAsia="標楷體" w:hint="eastAsia"/>
                <w:u w:val="single"/>
              </w:rPr>
              <w:t>(</w:t>
            </w:r>
            <w:r w:rsidR="000145E8" w:rsidRPr="0017410F">
              <w:rPr>
                <w:rFonts w:eastAsia="標楷體"/>
                <w:u w:val="single"/>
              </w:rPr>
              <w:t>無、理賠中</w:t>
            </w:r>
            <w:r w:rsidR="0017410F">
              <w:rPr>
                <w:rFonts w:eastAsia="標楷體" w:hint="eastAsia"/>
                <w:u w:val="single"/>
              </w:rPr>
              <w:t>)</w:t>
            </w:r>
            <w:r w:rsidR="00D30DC9" w:rsidRPr="0017410F">
              <w:rPr>
                <w:rFonts w:eastAsia="標楷體"/>
                <w:u w:val="single"/>
              </w:rPr>
              <w:t>、年齡、性別等選取因子決定</w:t>
            </w:r>
            <w:r w:rsidRPr="0017410F">
              <w:rPr>
                <w:rFonts w:eastAsia="標楷體"/>
                <w:u w:val="single"/>
              </w:rPr>
              <w:t>。</w:t>
            </w:r>
          </w:p>
          <w:p w:rsidR="009C245C" w:rsidRPr="0017410F" w:rsidRDefault="009C245C" w:rsidP="001477B3">
            <w:pPr>
              <w:kinsoku w:val="0"/>
              <w:overflowPunct w:val="0"/>
              <w:spacing w:line="440" w:lineRule="exact"/>
              <w:ind w:leftChars="309" w:left="742"/>
              <w:jc w:val="both"/>
              <w:textAlignment w:val="center"/>
              <w:rPr>
                <w:rFonts w:eastAsia="標楷體"/>
              </w:rPr>
            </w:pPr>
            <w:r w:rsidRPr="0017410F">
              <w:rPr>
                <w:rFonts w:eastAsia="標楷體"/>
                <w:u w:val="single"/>
              </w:rPr>
              <w:t>簽證精算人員另應載明未曾獨立建置模型核算過之商品名稱及準備金</w:t>
            </w:r>
            <w:r w:rsidR="001477B3">
              <w:rPr>
                <w:rFonts w:eastAsia="標楷體" w:hint="eastAsia"/>
                <w:u w:val="single"/>
              </w:rPr>
              <w:t>占</w:t>
            </w:r>
            <w:r w:rsidRPr="0017410F">
              <w:rPr>
                <w:rFonts w:eastAsia="標楷體"/>
                <w:u w:val="single"/>
              </w:rPr>
              <w:t>率，並應說明如何確保該等商品準備金適法性。</w:t>
            </w:r>
          </w:p>
        </w:tc>
        <w:tc>
          <w:tcPr>
            <w:tcW w:w="3827" w:type="dxa"/>
          </w:tcPr>
          <w:p w:rsidR="009C245C" w:rsidRPr="0017410F" w:rsidRDefault="009C245C" w:rsidP="00E011C9">
            <w:pPr>
              <w:kinsoku w:val="0"/>
              <w:overflowPunct w:val="0"/>
              <w:spacing w:line="440" w:lineRule="exact"/>
              <w:ind w:left="1238" w:hangingChars="516" w:hanging="1238"/>
              <w:jc w:val="both"/>
              <w:textAlignment w:val="center"/>
              <w:rPr>
                <w:rFonts w:eastAsia="標楷體"/>
              </w:rPr>
            </w:pPr>
            <w:r w:rsidRPr="0017410F">
              <w:rPr>
                <w:rFonts w:eastAsia="標楷體"/>
              </w:rPr>
              <w:lastRenderedPageBreak/>
              <w:t>二十之一、簽證精算人員應提供準備金之查核方式及查核結果，包括檢視準備金提存流程、確認評估範圍之完整性及正確性、確認各項準備金計算方式之正確性及分析整體準備金之合理性與適法性等各項查核，並應</w:t>
            </w:r>
            <w:r w:rsidRPr="0017410F">
              <w:rPr>
                <w:rFonts w:eastAsia="標楷體"/>
                <w:u w:val="single"/>
              </w:rPr>
              <w:t>說明抽樣方式及所採抽樣方式是否可提供足夠</w:t>
            </w:r>
            <w:r w:rsidRPr="0017410F">
              <w:rPr>
                <w:rFonts w:eastAsia="標楷體"/>
                <w:u w:val="single"/>
              </w:rPr>
              <w:lastRenderedPageBreak/>
              <w:t>與適切之查核證據。</w:t>
            </w:r>
          </w:p>
        </w:tc>
        <w:tc>
          <w:tcPr>
            <w:tcW w:w="1784" w:type="dxa"/>
          </w:tcPr>
          <w:p w:rsidR="007A7E53" w:rsidRPr="0017410F" w:rsidRDefault="00E011C9" w:rsidP="0017410F">
            <w:pPr>
              <w:pStyle w:val="Web"/>
              <w:widowControl w:val="0"/>
              <w:kinsoku w:val="0"/>
              <w:overflowPunct w:val="0"/>
              <w:spacing w:before="0" w:beforeAutospacing="0" w:after="0" w:afterAutospacing="0" w:line="440" w:lineRule="exact"/>
              <w:ind w:left="204" w:hangingChars="85" w:hanging="204"/>
              <w:jc w:val="both"/>
              <w:textAlignment w:val="center"/>
              <w:rPr>
                <w:rFonts w:ascii="Times New Roman" w:eastAsia="標楷體" w:hAnsi="Times New Roman" w:cs="Times New Roman"/>
              </w:rPr>
            </w:pPr>
            <w:r w:rsidRPr="0017410F">
              <w:rPr>
                <w:rFonts w:ascii="Times New Roman" w:eastAsia="標楷體" w:hAnsi="Times New Roman" w:cs="Times New Roman"/>
              </w:rPr>
              <w:lastRenderedPageBreak/>
              <w:t>1</w:t>
            </w:r>
            <w:r w:rsidR="0017410F">
              <w:rPr>
                <w:rFonts w:ascii="Times New Roman" w:eastAsia="標楷體" w:hAnsi="Times New Roman" w:cs="Times New Roman" w:hint="eastAsia"/>
              </w:rPr>
              <w:t>.</w:t>
            </w:r>
            <w:r w:rsidR="00DC6DA1" w:rsidRPr="0017410F">
              <w:rPr>
                <w:rFonts w:ascii="Times New Roman" w:eastAsia="標楷體" w:hAnsi="Times New Roman" w:cs="Times New Roman"/>
              </w:rPr>
              <w:t>為</w:t>
            </w:r>
            <w:r w:rsidR="007A7E53" w:rsidRPr="0017410F">
              <w:rPr>
                <w:rFonts w:ascii="Times New Roman" w:eastAsia="標楷體" w:hAnsi="Times New Roman" w:cs="Times New Roman"/>
              </w:rPr>
              <w:t>確保抽樣方式可提供足夠與適切之查核證據，爰增</w:t>
            </w:r>
            <w:r w:rsidR="007E4A19" w:rsidRPr="0017410F">
              <w:rPr>
                <w:rFonts w:ascii="Times New Roman" w:eastAsia="標楷體" w:hAnsi="Times New Roman" w:cs="Times New Roman"/>
              </w:rPr>
              <w:t>修</w:t>
            </w:r>
            <w:r w:rsidR="007A7E53" w:rsidRPr="0017410F">
              <w:rPr>
                <w:rFonts w:ascii="Times New Roman" w:eastAsia="標楷體" w:hAnsi="Times New Roman" w:cs="Times New Roman"/>
              </w:rPr>
              <w:t>要求說明抽樣方式如何以系統性方式達足以涵蓋代表性樣本。</w:t>
            </w:r>
          </w:p>
          <w:p w:rsidR="009C245C" w:rsidRPr="0017410F" w:rsidRDefault="00E011C9" w:rsidP="0017410F">
            <w:pPr>
              <w:pStyle w:val="Web"/>
              <w:widowControl w:val="0"/>
              <w:kinsoku w:val="0"/>
              <w:overflowPunct w:val="0"/>
              <w:spacing w:before="0" w:beforeAutospacing="0" w:after="0" w:afterAutospacing="0" w:line="440" w:lineRule="exact"/>
              <w:ind w:left="204" w:hangingChars="85" w:hanging="204"/>
              <w:jc w:val="both"/>
              <w:textAlignment w:val="center"/>
              <w:rPr>
                <w:rFonts w:ascii="Times New Roman" w:eastAsia="標楷體" w:hAnsi="Times New Roman" w:cs="Times New Roman"/>
              </w:rPr>
            </w:pPr>
            <w:r w:rsidRPr="0017410F">
              <w:rPr>
                <w:rFonts w:ascii="Times New Roman" w:eastAsia="標楷體" w:hAnsi="Times New Roman" w:cs="Times New Roman"/>
                <w:kern w:val="2"/>
              </w:rPr>
              <w:t>2</w:t>
            </w:r>
            <w:r w:rsidR="0017410F">
              <w:rPr>
                <w:rFonts w:ascii="Times New Roman" w:eastAsia="標楷體" w:hAnsi="Times New Roman" w:cs="Times New Roman" w:hint="eastAsia"/>
                <w:kern w:val="2"/>
              </w:rPr>
              <w:t>.</w:t>
            </w:r>
            <w:r w:rsidR="007A7E53" w:rsidRPr="0017410F">
              <w:rPr>
                <w:rFonts w:ascii="Times New Roman" w:eastAsia="標楷體" w:hAnsi="Times New Roman" w:cs="Times New Roman"/>
                <w:kern w:val="2"/>
              </w:rPr>
              <w:t>為確保法定</w:t>
            </w:r>
            <w:r w:rsidR="007A7E53" w:rsidRPr="0017410F">
              <w:rPr>
                <w:rFonts w:ascii="Times New Roman" w:eastAsia="標楷體" w:hAnsi="Times New Roman" w:cs="Times New Roman"/>
                <w:kern w:val="2"/>
              </w:rPr>
              <w:lastRenderedPageBreak/>
              <w:t>準備金之適法性，爰增訂第二項</w:t>
            </w:r>
            <w:r w:rsidR="007E4A19" w:rsidRPr="0017410F">
              <w:rPr>
                <w:rFonts w:ascii="Times New Roman" w:eastAsia="標楷體" w:hAnsi="Times New Roman" w:cs="Times New Roman"/>
              </w:rPr>
              <w:t>規範簽證精算人員應</w:t>
            </w:r>
            <w:r w:rsidR="007A7E53" w:rsidRPr="0017410F">
              <w:rPr>
                <w:rFonts w:ascii="Times New Roman" w:eastAsia="標楷體" w:hAnsi="Times New Roman" w:cs="Times New Roman"/>
                <w:kern w:val="2"/>
              </w:rPr>
              <w:t>說明</w:t>
            </w:r>
            <w:r w:rsidR="007A7E53" w:rsidRPr="0017410F">
              <w:rPr>
                <w:rFonts w:ascii="Times New Roman" w:eastAsia="標楷體" w:hAnsi="Times New Roman" w:cs="Times New Roman"/>
              </w:rPr>
              <w:t>未曾獨立建置模型核算過之商品如何確保該等商品準備金適法性。</w:t>
            </w:r>
          </w:p>
        </w:tc>
      </w:tr>
      <w:tr w:rsidR="0017410F" w:rsidRPr="0017410F" w:rsidTr="00D83DCB">
        <w:trPr>
          <w:trHeight w:val="20"/>
        </w:trPr>
        <w:tc>
          <w:tcPr>
            <w:tcW w:w="3828" w:type="dxa"/>
          </w:tcPr>
          <w:p w:rsidR="009C245C" w:rsidRPr="0017410F" w:rsidRDefault="009C245C" w:rsidP="00E011C9">
            <w:pPr>
              <w:kinsoku w:val="0"/>
              <w:overflowPunct w:val="0"/>
              <w:spacing w:line="440" w:lineRule="exact"/>
              <w:ind w:left="1238" w:hangingChars="516" w:hanging="1238"/>
              <w:jc w:val="both"/>
              <w:textAlignment w:val="center"/>
              <w:rPr>
                <w:rFonts w:eastAsia="標楷體"/>
              </w:rPr>
            </w:pPr>
            <w:r w:rsidRPr="0017410F">
              <w:rPr>
                <w:rFonts w:eastAsia="標楷體"/>
              </w:rPr>
              <w:lastRenderedPageBreak/>
              <w:t>第七章、投資決策評估</w:t>
            </w:r>
          </w:p>
        </w:tc>
        <w:tc>
          <w:tcPr>
            <w:tcW w:w="3827" w:type="dxa"/>
          </w:tcPr>
          <w:p w:rsidR="009C245C" w:rsidRPr="0017410F" w:rsidRDefault="009C245C" w:rsidP="00E011C9">
            <w:pPr>
              <w:kinsoku w:val="0"/>
              <w:overflowPunct w:val="0"/>
              <w:spacing w:line="440" w:lineRule="exact"/>
              <w:ind w:left="1238" w:hangingChars="516" w:hanging="1238"/>
              <w:jc w:val="both"/>
              <w:textAlignment w:val="center"/>
              <w:rPr>
                <w:rFonts w:eastAsia="標楷體"/>
              </w:rPr>
            </w:pPr>
            <w:r w:rsidRPr="0017410F">
              <w:rPr>
                <w:rFonts w:eastAsia="標楷體"/>
              </w:rPr>
              <w:t>第七章、投資決策評估</w:t>
            </w:r>
          </w:p>
        </w:tc>
        <w:tc>
          <w:tcPr>
            <w:tcW w:w="1784" w:type="dxa"/>
            <w:vAlign w:val="center"/>
          </w:tcPr>
          <w:p w:rsidR="009C245C" w:rsidRPr="0017410F" w:rsidRDefault="009C245C" w:rsidP="00E011C9">
            <w:pPr>
              <w:kinsoku w:val="0"/>
              <w:overflowPunct w:val="0"/>
              <w:spacing w:line="440" w:lineRule="exact"/>
              <w:jc w:val="both"/>
              <w:textAlignment w:val="center"/>
              <w:rPr>
                <w:rFonts w:eastAsia="標楷體"/>
              </w:rPr>
            </w:pPr>
          </w:p>
        </w:tc>
      </w:tr>
      <w:tr w:rsidR="0017410F" w:rsidRPr="0017410F" w:rsidTr="00D83DCB">
        <w:trPr>
          <w:trHeight w:val="20"/>
        </w:trPr>
        <w:tc>
          <w:tcPr>
            <w:tcW w:w="3828" w:type="dxa"/>
          </w:tcPr>
          <w:p w:rsidR="009C245C" w:rsidRPr="0017410F" w:rsidRDefault="009C245C" w:rsidP="00E011C9">
            <w:pPr>
              <w:kinsoku w:val="0"/>
              <w:overflowPunct w:val="0"/>
              <w:spacing w:line="440" w:lineRule="exact"/>
              <w:ind w:left="996" w:hangingChars="415" w:hanging="996"/>
              <w:jc w:val="both"/>
              <w:textAlignment w:val="center"/>
              <w:rPr>
                <w:rFonts w:eastAsia="標楷體"/>
              </w:rPr>
            </w:pPr>
            <w:r w:rsidRPr="0017410F">
              <w:rPr>
                <w:rFonts w:eastAsia="標楷體"/>
              </w:rPr>
              <w:t>四十二、簽證精算人員應提供各區隔資產及未區隔資產之資產負債管理計畫、評估日及未來一年資產與負債有效存續期間評估及資產負債不配合之量化分析，另應提供利率變動型商品於現行目標資產配置及投資決策下之量化評估分析，並就投資決策對其資產與負債之配合及影響提供專業分析及意見。</w:t>
            </w:r>
          </w:p>
          <w:p w:rsidR="009C245C" w:rsidRPr="0017410F" w:rsidRDefault="009C245C" w:rsidP="00E011C9">
            <w:pPr>
              <w:kinsoku w:val="0"/>
              <w:overflowPunct w:val="0"/>
              <w:spacing w:line="440" w:lineRule="exact"/>
              <w:ind w:left="998"/>
              <w:jc w:val="both"/>
              <w:textAlignment w:val="center"/>
              <w:rPr>
                <w:rFonts w:eastAsia="標楷體"/>
              </w:rPr>
            </w:pPr>
            <w:r w:rsidRPr="0017410F">
              <w:rPr>
                <w:rFonts w:eastAsia="標楷體"/>
              </w:rPr>
              <w:lastRenderedPageBreak/>
              <w:t>前項各區隔資產之資產負債管理計畫應與商品送審時之資產配置計畫或資產負債管理計畫相關內容進行差異分析。</w:t>
            </w:r>
          </w:p>
          <w:p w:rsidR="00615678" w:rsidRPr="0017410F" w:rsidRDefault="00615678" w:rsidP="00E011C9">
            <w:pPr>
              <w:kinsoku w:val="0"/>
              <w:overflowPunct w:val="0"/>
              <w:spacing w:line="440" w:lineRule="exact"/>
              <w:ind w:left="998"/>
              <w:jc w:val="both"/>
              <w:textAlignment w:val="center"/>
              <w:rPr>
                <w:rFonts w:eastAsia="標楷體"/>
              </w:rPr>
            </w:pPr>
            <w:r w:rsidRPr="0017410F">
              <w:rPr>
                <w:rFonts w:eastAsia="標楷體"/>
                <w:kern w:val="0"/>
                <w:u w:val="single"/>
              </w:rPr>
              <w:t>簽證精算人員應考量銷售對象之利率敏感程度及特定年度解約之可能性，提出利率風險量化分析，且提出現金流量缺口及資產負債存續期間缺口之監控機制。</w:t>
            </w:r>
          </w:p>
        </w:tc>
        <w:tc>
          <w:tcPr>
            <w:tcW w:w="3827" w:type="dxa"/>
          </w:tcPr>
          <w:p w:rsidR="009C245C" w:rsidRPr="0017410F" w:rsidRDefault="009C245C" w:rsidP="00E011C9">
            <w:pPr>
              <w:kinsoku w:val="0"/>
              <w:overflowPunct w:val="0"/>
              <w:spacing w:line="440" w:lineRule="exact"/>
              <w:ind w:left="996" w:hangingChars="415" w:hanging="996"/>
              <w:jc w:val="both"/>
              <w:textAlignment w:val="center"/>
              <w:rPr>
                <w:rFonts w:eastAsia="標楷體"/>
              </w:rPr>
            </w:pPr>
            <w:r w:rsidRPr="0017410F">
              <w:rPr>
                <w:rFonts w:eastAsia="標楷體"/>
              </w:rPr>
              <w:lastRenderedPageBreak/>
              <w:t>四十二、簽證精算人員應提供各區隔資產及未區隔資產之資產負債管理計畫、評估日及未來一年資產與負債有效存續期間評估及資產負債不配合之量化分析，另應提供利率變動型商品於現行目標資產配置及投資決策下之量化評估分析，並就投資決策對其資產與負債之配合及影響提供專業分析及意見。</w:t>
            </w:r>
          </w:p>
          <w:p w:rsidR="009C245C" w:rsidRPr="0017410F" w:rsidRDefault="009C245C" w:rsidP="00E011C9">
            <w:pPr>
              <w:kinsoku w:val="0"/>
              <w:overflowPunct w:val="0"/>
              <w:spacing w:line="440" w:lineRule="exact"/>
              <w:ind w:left="998"/>
              <w:jc w:val="both"/>
              <w:textAlignment w:val="center"/>
              <w:rPr>
                <w:rFonts w:eastAsia="標楷體"/>
              </w:rPr>
            </w:pPr>
            <w:r w:rsidRPr="0017410F">
              <w:rPr>
                <w:rFonts w:eastAsia="標楷體"/>
              </w:rPr>
              <w:lastRenderedPageBreak/>
              <w:t>前項各區隔資產之資產負債管理計畫應與商品送審時之資產配置計畫或資產負債管理計畫相關內容進行差異分析。</w:t>
            </w:r>
          </w:p>
        </w:tc>
        <w:tc>
          <w:tcPr>
            <w:tcW w:w="1784" w:type="dxa"/>
          </w:tcPr>
          <w:p w:rsidR="009C245C" w:rsidRPr="0017410F" w:rsidRDefault="007E4A19" w:rsidP="001477B3">
            <w:pPr>
              <w:kinsoku w:val="0"/>
              <w:overflowPunct w:val="0"/>
              <w:spacing w:line="440" w:lineRule="exact"/>
              <w:jc w:val="both"/>
              <w:textAlignment w:val="center"/>
              <w:rPr>
                <w:rFonts w:eastAsia="標楷體"/>
              </w:rPr>
            </w:pPr>
            <w:r w:rsidRPr="0017410F">
              <w:rPr>
                <w:rFonts w:eastAsia="標楷體"/>
              </w:rPr>
              <w:lastRenderedPageBreak/>
              <w:t>考量近年來具儲蓄性質的類定存保單</w:t>
            </w:r>
            <w:r w:rsidR="0017410F">
              <w:rPr>
                <w:rFonts w:eastAsia="標楷體" w:hint="eastAsia"/>
              </w:rPr>
              <w:t>(</w:t>
            </w:r>
            <w:r w:rsidRPr="0017410F">
              <w:rPr>
                <w:rFonts w:eastAsia="標楷體"/>
              </w:rPr>
              <w:t>包括傳統壽險、利變壽險、利變年金險</w:t>
            </w:r>
            <w:r w:rsidR="0017410F">
              <w:rPr>
                <w:rFonts w:eastAsia="標楷體" w:hint="eastAsia"/>
              </w:rPr>
              <w:t>)</w:t>
            </w:r>
            <w:r w:rsidRPr="0017410F">
              <w:rPr>
                <w:rFonts w:eastAsia="標楷體"/>
              </w:rPr>
              <w:t>持續熱賣，在銷售對象之利率敏感程度及特定年度解約之可能性</w:t>
            </w:r>
            <w:r w:rsidR="00587C00" w:rsidRPr="0017410F">
              <w:rPr>
                <w:rFonts w:eastAsia="標楷體"/>
              </w:rPr>
              <w:t>尚</w:t>
            </w:r>
            <w:r w:rsidRPr="0017410F">
              <w:rPr>
                <w:rFonts w:eastAsia="標楷體"/>
              </w:rPr>
              <w:t>無法精確評估下，為利督促公司有效</w:t>
            </w:r>
            <w:r w:rsidRPr="0017410F">
              <w:rPr>
                <w:rFonts w:eastAsia="標楷體"/>
              </w:rPr>
              <w:lastRenderedPageBreak/>
              <w:t>落實資產負債動態管理，</w:t>
            </w:r>
            <w:r w:rsidR="00563CAA" w:rsidRPr="0017410F">
              <w:rPr>
                <w:rFonts w:eastAsia="標楷體"/>
              </w:rPr>
              <w:t>爰</w:t>
            </w:r>
            <w:r w:rsidR="00B85372" w:rsidRPr="0017410F">
              <w:rPr>
                <w:rFonts w:eastAsia="標楷體"/>
              </w:rPr>
              <w:t>增列</w:t>
            </w:r>
            <w:r w:rsidR="00615678" w:rsidRPr="0017410F">
              <w:rPr>
                <w:rFonts w:eastAsia="標楷體"/>
              </w:rPr>
              <w:t>第三項</w:t>
            </w:r>
            <w:r w:rsidR="00563CAA" w:rsidRPr="0017410F">
              <w:rPr>
                <w:rFonts w:eastAsia="標楷體"/>
              </w:rPr>
              <w:t>規範</w:t>
            </w:r>
            <w:r w:rsidR="00563CAA" w:rsidRPr="0017410F">
              <w:rPr>
                <w:rFonts w:eastAsia="標楷體"/>
                <w:kern w:val="0"/>
              </w:rPr>
              <w:t>簽證精算人員</w:t>
            </w:r>
            <w:r w:rsidR="00C55BAB">
              <w:rPr>
                <w:rFonts w:eastAsia="標楷體" w:hint="eastAsia"/>
                <w:kern w:val="0"/>
              </w:rPr>
              <w:t>應</w:t>
            </w:r>
            <w:r w:rsidR="00563CAA" w:rsidRPr="0017410F">
              <w:rPr>
                <w:rFonts w:eastAsia="標楷體"/>
                <w:kern w:val="0"/>
              </w:rPr>
              <w:t>考量銷售對象之可能脫退情況，</w:t>
            </w:r>
            <w:r w:rsidR="00B85372" w:rsidRPr="0017410F">
              <w:rPr>
                <w:rFonts w:eastAsia="標楷體"/>
              </w:rPr>
              <w:t>提出利率風險量化分析及監控機制。</w:t>
            </w:r>
          </w:p>
        </w:tc>
      </w:tr>
      <w:tr w:rsidR="0017410F" w:rsidRPr="0017410F" w:rsidTr="00D83DCB">
        <w:trPr>
          <w:trHeight w:val="20"/>
        </w:trPr>
        <w:tc>
          <w:tcPr>
            <w:tcW w:w="3828" w:type="dxa"/>
          </w:tcPr>
          <w:p w:rsidR="009C245C" w:rsidRPr="0017410F" w:rsidRDefault="009C245C" w:rsidP="00E011C9">
            <w:pPr>
              <w:kinsoku w:val="0"/>
              <w:overflowPunct w:val="0"/>
              <w:spacing w:line="420" w:lineRule="exact"/>
              <w:ind w:left="996" w:hangingChars="415" w:hanging="996"/>
              <w:jc w:val="both"/>
              <w:textAlignment w:val="center"/>
              <w:rPr>
                <w:rFonts w:eastAsia="標楷體"/>
              </w:rPr>
            </w:pPr>
            <w:r w:rsidRPr="0017410F">
              <w:rPr>
                <w:rFonts w:eastAsia="標楷體"/>
              </w:rPr>
              <w:lastRenderedPageBreak/>
              <w:t>第八章、清償能力評估</w:t>
            </w:r>
          </w:p>
        </w:tc>
        <w:tc>
          <w:tcPr>
            <w:tcW w:w="3827" w:type="dxa"/>
          </w:tcPr>
          <w:p w:rsidR="009C245C" w:rsidRPr="0017410F" w:rsidRDefault="009C245C" w:rsidP="00E011C9">
            <w:pPr>
              <w:kinsoku w:val="0"/>
              <w:overflowPunct w:val="0"/>
              <w:spacing w:line="420" w:lineRule="exact"/>
              <w:ind w:left="996" w:hangingChars="415" w:hanging="996"/>
              <w:jc w:val="both"/>
              <w:textAlignment w:val="center"/>
              <w:rPr>
                <w:rFonts w:eastAsia="標楷體"/>
              </w:rPr>
            </w:pPr>
            <w:r w:rsidRPr="0017410F">
              <w:rPr>
                <w:rFonts w:eastAsia="標楷體"/>
              </w:rPr>
              <w:t>第八章、清償能力評估</w:t>
            </w:r>
          </w:p>
        </w:tc>
        <w:tc>
          <w:tcPr>
            <w:tcW w:w="1784" w:type="dxa"/>
            <w:vAlign w:val="center"/>
          </w:tcPr>
          <w:p w:rsidR="009C245C" w:rsidRPr="0017410F" w:rsidRDefault="009C245C" w:rsidP="00E011C9">
            <w:pPr>
              <w:kinsoku w:val="0"/>
              <w:overflowPunct w:val="0"/>
              <w:spacing w:line="440" w:lineRule="exact"/>
              <w:jc w:val="both"/>
              <w:textAlignment w:val="center"/>
              <w:rPr>
                <w:rFonts w:eastAsia="標楷體"/>
              </w:rPr>
            </w:pPr>
          </w:p>
        </w:tc>
      </w:tr>
      <w:tr w:rsidR="0017410F" w:rsidRPr="007A008E" w:rsidTr="00D83DCB">
        <w:trPr>
          <w:trHeight w:val="20"/>
        </w:trPr>
        <w:tc>
          <w:tcPr>
            <w:tcW w:w="3828" w:type="dxa"/>
          </w:tcPr>
          <w:p w:rsidR="009C245C" w:rsidRPr="0017410F" w:rsidRDefault="009C245C" w:rsidP="00E011C9">
            <w:pPr>
              <w:kinsoku w:val="0"/>
              <w:overflowPunct w:val="0"/>
              <w:spacing w:line="420" w:lineRule="exact"/>
              <w:ind w:left="996" w:hangingChars="415" w:hanging="996"/>
              <w:jc w:val="both"/>
              <w:textAlignment w:val="center"/>
              <w:rPr>
                <w:rFonts w:eastAsia="標楷體"/>
              </w:rPr>
            </w:pPr>
            <w:r w:rsidRPr="0017410F">
              <w:rPr>
                <w:rFonts w:eastAsia="標楷體"/>
              </w:rPr>
              <w:t>四十六、簽證精算人員應針對資本適足率出具適足性之意見及相關建議，若有不適足者，應提供簽署公司達適足標準所需之增資金額及具體改善計畫，並量化各項改善措施對資本適足率之影響程度。</w:t>
            </w:r>
          </w:p>
          <w:p w:rsidR="009C245C" w:rsidRPr="0017410F" w:rsidRDefault="009C245C" w:rsidP="00E011C9">
            <w:pPr>
              <w:kinsoku w:val="0"/>
              <w:overflowPunct w:val="0"/>
              <w:spacing w:line="420" w:lineRule="exact"/>
              <w:ind w:left="998"/>
              <w:jc w:val="both"/>
              <w:textAlignment w:val="center"/>
              <w:rPr>
                <w:rFonts w:eastAsia="標楷體"/>
              </w:rPr>
            </w:pPr>
            <w:r w:rsidRPr="0017410F">
              <w:rPr>
                <w:rFonts w:eastAsia="標楷體"/>
              </w:rPr>
              <w:t>針對資本適足率已達適足標準之公司，簽證精算人員亦應於清償能力評估情形項下，評析對簽署公司資本適足率具有重大影響因素之敏感度測試結果並提出建議，以求永續經營。</w:t>
            </w:r>
          </w:p>
          <w:p w:rsidR="009C245C" w:rsidRPr="0017410F" w:rsidRDefault="009C245C" w:rsidP="00CA79A7">
            <w:pPr>
              <w:kinsoku w:val="0"/>
              <w:overflowPunct w:val="0"/>
              <w:spacing w:line="420" w:lineRule="exact"/>
              <w:ind w:left="998"/>
              <w:jc w:val="both"/>
              <w:textAlignment w:val="center"/>
              <w:rPr>
                <w:rFonts w:eastAsia="標楷體"/>
                <w:u w:val="single"/>
              </w:rPr>
            </w:pPr>
            <w:r w:rsidRPr="0017410F">
              <w:rPr>
                <w:rFonts w:eastAsia="標楷體"/>
                <w:u w:val="single"/>
              </w:rPr>
              <w:t>簽證精算人員另應說明</w:t>
            </w:r>
            <w:r w:rsidRPr="0017410F">
              <w:rPr>
                <w:rFonts w:eastAsia="標楷體"/>
                <w:u w:val="single"/>
              </w:rPr>
              <w:lastRenderedPageBreak/>
              <w:t>精算簽證報告與</w:t>
            </w:r>
            <w:r w:rsidR="0017410F" w:rsidRPr="0017410F">
              <w:rPr>
                <w:rFonts w:eastAsia="標楷體"/>
                <w:u w:val="single"/>
              </w:rPr>
              <w:t>保險業自我風險及清償能力評估</w:t>
            </w:r>
            <w:r w:rsidR="0017410F" w:rsidRPr="0017410F">
              <w:rPr>
                <w:rFonts w:eastAsia="標楷體"/>
                <w:u w:val="single"/>
              </w:rPr>
              <w:t>(</w:t>
            </w:r>
            <w:r w:rsidR="0017410F" w:rsidRPr="0017410F">
              <w:rPr>
                <w:rFonts w:eastAsia="標楷體"/>
                <w:u w:val="single"/>
              </w:rPr>
              <w:t>簡稱</w:t>
            </w:r>
            <w:r w:rsidR="0017410F" w:rsidRPr="0017410F">
              <w:rPr>
                <w:rFonts w:eastAsia="標楷體"/>
                <w:u w:val="single"/>
              </w:rPr>
              <w:t>ORSA)</w:t>
            </w:r>
            <w:r w:rsidR="001477B3">
              <w:rPr>
                <w:rFonts w:eastAsia="標楷體" w:hint="eastAsia"/>
                <w:u w:val="single"/>
              </w:rPr>
              <w:t>作業</w:t>
            </w:r>
            <w:r w:rsidR="00CA79A7">
              <w:rPr>
                <w:rFonts w:eastAsia="標楷體" w:hint="eastAsia"/>
                <w:u w:val="single"/>
              </w:rPr>
              <w:t>中</w:t>
            </w:r>
            <w:r w:rsidRPr="0017410F">
              <w:rPr>
                <w:rFonts w:eastAsia="標楷體"/>
                <w:u w:val="single"/>
              </w:rPr>
              <w:t>資本管理</w:t>
            </w:r>
            <w:r w:rsidR="001477B3">
              <w:rPr>
                <w:rFonts w:eastAsia="標楷體" w:hint="eastAsia"/>
                <w:u w:val="single"/>
              </w:rPr>
              <w:t>方式</w:t>
            </w:r>
            <w:r w:rsidR="00CA79A7">
              <w:rPr>
                <w:rFonts w:eastAsia="標楷體" w:hint="eastAsia"/>
                <w:u w:val="single"/>
              </w:rPr>
              <w:t>之</w:t>
            </w:r>
            <w:r w:rsidRPr="0017410F">
              <w:rPr>
                <w:rFonts w:eastAsia="標楷體"/>
                <w:u w:val="single"/>
              </w:rPr>
              <w:t>異同。</w:t>
            </w:r>
          </w:p>
        </w:tc>
        <w:tc>
          <w:tcPr>
            <w:tcW w:w="3827" w:type="dxa"/>
          </w:tcPr>
          <w:p w:rsidR="009C245C" w:rsidRPr="0017410F" w:rsidRDefault="009C245C" w:rsidP="00E011C9">
            <w:pPr>
              <w:kinsoku w:val="0"/>
              <w:overflowPunct w:val="0"/>
              <w:spacing w:line="420" w:lineRule="exact"/>
              <w:ind w:left="996" w:hangingChars="415" w:hanging="996"/>
              <w:jc w:val="both"/>
              <w:textAlignment w:val="center"/>
              <w:rPr>
                <w:rFonts w:eastAsia="標楷體"/>
              </w:rPr>
            </w:pPr>
            <w:r w:rsidRPr="0017410F">
              <w:rPr>
                <w:rFonts w:eastAsia="標楷體"/>
              </w:rPr>
              <w:lastRenderedPageBreak/>
              <w:t>四十六、簽證精算人員應針對資本適足率出具適足性之意見及相關建議，若有不適足者，應提供簽署公司達適足標準所需之增資金額及具體改善計畫，並量化各項改善措施對資本適足率之影響程度。</w:t>
            </w:r>
          </w:p>
          <w:p w:rsidR="009C245C" w:rsidRPr="0017410F" w:rsidRDefault="009C245C" w:rsidP="00E011C9">
            <w:pPr>
              <w:kinsoku w:val="0"/>
              <w:overflowPunct w:val="0"/>
              <w:spacing w:line="420" w:lineRule="exact"/>
              <w:ind w:left="998"/>
              <w:jc w:val="both"/>
              <w:textAlignment w:val="center"/>
              <w:rPr>
                <w:rFonts w:eastAsia="標楷體"/>
              </w:rPr>
            </w:pPr>
            <w:r w:rsidRPr="0017410F">
              <w:rPr>
                <w:rFonts w:eastAsia="標楷體"/>
              </w:rPr>
              <w:t>針對資本適足率已達適足標準之公司，簽證精算人員亦應於清償能力評估情形項下，評析對簽署公司資本適足率具有重大影響因素之敏感度測試結果並提出建議，以求永續經營。</w:t>
            </w:r>
          </w:p>
        </w:tc>
        <w:tc>
          <w:tcPr>
            <w:tcW w:w="1784" w:type="dxa"/>
          </w:tcPr>
          <w:p w:rsidR="0017410F" w:rsidRPr="0017410F" w:rsidRDefault="0017410F" w:rsidP="00CA79A7">
            <w:pPr>
              <w:kinsoku w:val="0"/>
              <w:overflowPunct w:val="0"/>
              <w:spacing w:line="440" w:lineRule="exact"/>
              <w:jc w:val="both"/>
              <w:textAlignment w:val="center"/>
              <w:rPr>
                <w:rFonts w:eastAsia="標楷體"/>
              </w:rPr>
            </w:pPr>
            <w:r w:rsidRPr="0017410F">
              <w:rPr>
                <w:rFonts w:eastAsia="標楷體"/>
              </w:rPr>
              <w:t>為強化清償能力評估簽證項目並配合</w:t>
            </w:r>
            <w:r w:rsidRPr="0017410F">
              <w:rPr>
                <w:rFonts w:eastAsia="標楷體"/>
              </w:rPr>
              <w:t>ORSA</w:t>
            </w:r>
            <w:r>
              <w:rPr>
                <w:rFonts w:eastAsia="標楷體" w:hint="eastAsia"/>
              </w:rPr>
              <w:t>制度</w:t>
            </w:r>
            <w:r w:rsidRPr="0017410F">
              <w:rPr>
                <w:rFonts w:eastAsia="標楷體"/>
              </w:rPr>
              <w:t>已自</w:t>
            </w:r>
            <w:r w:rsidRPr="0017410F">
              <w:rPr>
                <w:rFonts w:eastAsia="標楷體"/>
              </w:rPr>
              <w:t>105</w:t>
            </w:r>
            <w:r w:rsidRPr="0017410F">
              <w:rPr>
                <w:rFonts w:eastAsia="標楷體"/>
              </w:rPr>
              <w:t>年起實施，</w:t>
            </w:r>
            <w:r w:rsidR="00B85372" w:rsidRPr="0017410F">
              <w:rPr>
                <w:rFonts w:eastAsia="標楷體"/>
              </w:rPr>
              <w:t>爰增訂第三項規範簽證精算人員</w:t>
            </w:r>
            <w:r w:rsidR="007A008E">
              <w:rPr>
                <w:rFonts w:eastAsia="標楷體" w:hint="eastAsia"/>
              </w:rPr>
              <w:t>另</w:t>
            </w:r>
            <w:r w:rsidR="00B85372" w:rsidRPr="0017410F">
              <w:rPr>
                <w:rFonts w:eastAsia="標楷體"/>
              </w:rPr>
              <w:t>應</w:t>
            </w:r>
            <w:r w:rsidR="001A2DE9" w:rsidRPr="0017410F">
              <w:rPr>
                <w:rFonts w:eastAsia="標楷體"/>
              </w:rPr>
              <w:t>說明精算簽證報告與</w:t>
            </w:r>
            <w:r w:rsidR="001A2DE9" w:rsidRPr="0017410F">
              <w:rPr>
                <w:rFonts w:eastAsia="標楷體"/>
              </w:rPr>
              <w:t>ORSA</w:t>
            </w:r>
            <w:r w:rsidR="001477B3">
              <w:rPr>
                <w:rFonts w:eastAsia="標楷體" w:hint="eastAsia"/>
              </w:rPr>
              <w:t>作業</w:t>
            </w:r>
            <w:r w:rsidR="001A2DE9" w:rsidRPr="0017410F">
              <w:rPr>
                <w:rFonts w:eastAsia="標楷體"/>
              </w:rPr>
              <w:t>中資本管理</w:t>
            </w:r>
            <w:r w:rsidR="001477B3">
              <w:rPr>
                <w:rFonts w:eastAsia="標楷體" w:hint="eastAsia"/>
              </w:rPr>
              <w:t>方式</w:t>
            </w:r>
            <w:r w:rsidR="00CA79A7">
              <w:rPr>
                <w:rFonts w:eastAsia="標楷體" w:hint="eastAsia"/>
              </w:rPr>
              <w:t>之</w:t>
            </w:r>
            <w:r w:rsidR="001A2DE9" w:rsidRPr="0017410F">
              <w:rPr>
                <w:rFonts w:eastAsia="標楷體"/>
              </w:rPr>
              <w:t>異同。</w:t>
            </w:r>
          </w:p>
        </w:tc>
      </w:tr>
      <w:tr w:rsidR="007A008E" w:rsidRPr="007A008E" w:rsidTr="00D83DCB">
        <w:trPr>
          <w:trHeight w:val="20"/>
        </w:trPr>
        <w:tc>
          <w:tcPr>
            <w:tcW w:w="3828" w:type="dxa"/>
          </w:tcPr>
          <w:p w:rsidR="007A008E" w:rsidRPr="00FC0AAF" w:rsidRDefault="007A008E" w:rsidP="007A008E">
            <w:pPr>
              <w:kinsoku w:val="0"/>
              <w:overflowPunct w:val="0"/>
              <w:spacing w:line="420" w:lineRule="exact"/>
              <w:ind w:left="770" w:hangingChars="321" w:hanging="770"/>
              <w:jc w:val="both"/>
              <w:textAlignment w:val="center"/>
              <w:rPr>
                <w:rFonts w:eastAsia="標楷體"/>
              </w:rPr>
            </w:pPr>
            <w:r w:rsidRPr="00FC0AAF">
              <w:rPr>
                <w:rFonts w:eastAsia="標楷體"/>
              </w:rPr>
              <w:t>六十三之二、簽證精算人員應單獨針對長年期健康保險之準備金適足性適當表達精算意見，至少應包含下列各款：</w:t>
            </w:r>
          </w:p>
          <w:p w:rsidR="007A008E" w:rsidRPr="00D83DCB" w:rsidRDefault="007A008E" w:rsidP="007A008E">
            <w:pPr>
              <w:kinsoku w:val="0"/>
              <w:overflowPunct w:val="0"/>
              <w:spacing w:line="440" w:lineRule="exact"/>
              <w:ind w:leftChars="309" w:left="1193" w:hangingChars="188" w:hanging="451"/>
              <w:jc w:val="both"/>
              <w:textAlignment w:val="center"/>
              <w:rPr>
                <w:rFonts w:eastAsia="標楷體"/>
              </w:rPr>
            </w:pPr>
            <w:r>
              <w:rPr>
                <w:rFonts w:eastAsia="標楷體" w:hint="eastAsia"/>
              </w:rPr>
              <w:t>(</w:t>
            </w:r>
            <w:r w:rsidRPr="00FC0AAF">
              <w:rPr>
                <w:rFonts w:eastAsia="標楷體"/>
              </w:rPr>
              <w:t>一</w:t>
            </w:r>
            <w:r>
              <w:rPr>
                <w:rFonts w:eastAsia="標楷體" w:hint="eastAsia"/>
              </w:rPr>
              <w:t>)</w:t>
            </w:r>
            <w:r w:rsidRPr="00D83DCB">
              <w:rPr>
                <w:rFonts w:eastAsia="標楷體"/>
                <w:u w:val="single"/>
              </w:rPr>
              <w:t>分析</w:t>
            </w:r>
            <w:r w:rsidRPr="00D83DCB">
              <w:rPr>
                <w:rFonts w:eastAsia="標楷體"/>
                <w:kern w:val="0"/>
                <w:u w:val="single"/>
              </w:rPr>
              <w:t>說明銷售中</w:t>
            </w:r>
            <w:r w:rsidRPr="00D83DCB">
              <w:rPr>
                <w:rFonts w:eastAsia="標楷體"/>
                <w:bCs/>
                <w:kern w:val="0"/>
                <w:u w:val="single"/>
              </w:rPr>
              <w:t>長年期健康險保險</w:t>
            </w:r>
            <w:r w:rsidRPr="00D83DCB">
              <w:rPr>
                <w:rFonts w:eastAsia="標楷體"/>
                <w:kern w:val="0"/>
                <w:u w:val="single"/>
              </w:rPr>
              <w:t>商品之</w:t>
            </w:r>
            <w:r w:rsidRPr="00D83DCB">
              <w:rPr>
                <w:rFonts w:eastAsia="標楷體"/>
                <w:bCs/>
                <w:kern w:val="0"/>
                <w:u w:val="single"/>
              </w:rPr>
              <w:t>損失率，</w:t>
            </w:r>
            <w:r w:rsidRPr="00D83DCB">
              <w:rPr>
                <w:rFonts w:eastAsia="標楷體"/>
              </w:rPr>
              <w:t>針對損失率明顯惡化但公司仍在不調整費率下繼續銷售之個別商品，若有準備金不適足者，應提供簽署公司達準備金適足性標準所需立即增提之準備金金額。</w:t>
            </w:r>
          </w:p>
          <w:p w:rsidR="007A008E" w:rsidRPr="0017410F" w:rsidRDefault="007A008E" w:rsidP="007A008E">
            <w:pPr>
              <w:kinsoku w:val="0"/>
              <w:overflowPunct w:val="0"/>
              <w:spacing w:line="440" w:lineRule="exact"/>
              <w:ind w:leftChars="309" w:left="1193" w:hangingChars="188" w:hanging="451"/>
              <w:jc w:val="both"/>
              <w:textAlignment w:val="center"/>
              <w:rPr>
                <w:rFonts w:eastAsia="標楷體"/>
              </w:rPr>
            </w:pPr>
            <w:r w:rsidRPr="00D83DCB">
              <w:rPr>
                <w:rFonts w:eastAsia="標楷體" w:hint="eastAsia"/>
              </w:rPr>
              <w:t>(</w:t>
            </w:r>
            <w:r w:rsidRPr="00D83DCB">
              <w:rPr>
                <w:rFonts w:eastAsia="標楷體"/>
              </w:rPr>
              <w:t>二</w:t>
            </w:r>
            <w:r w:rsidRPr="00D83DCB">
              <w:rPr>
                <w:rFonts w:eastAsia="標楷體" w:hint="eastAsia"/>
              </w:rPr>
              <w:t>)</w:t>
            </w:r>
            <w:r w:rsidRPr="00D83DCB">
              <w:rPr>
                <w:rFonts w:eastAsia="標楷體"/>
              </w:rPr>
              <w:t>針對損失率明顯惡化之長年期健康保險商品，應提具準備金監控機制，</w:t>
            </w:r>
            <w:r w:rsidRPr="00D83DCB">
              <w:rPr>
                <w:rFonts w:eastAsia="標楷體"/>
                <w:u w:val="single"/>
              </w:rPr>
              <w:t>該</w:t>
            </w:r>
            <w:r w:rsidRPr="00D83DCB">
              <w:rPr>
                <w:rFonts w:eastAsia="標楷體"/>
                <w:kern w:val="0"/>
                <w:u w:val="single"/>
              </w:rPr>
              <w:t>監控機制應考量商品風險特性之異同後訂定，</w:t>
            </w:r>
            <w:r w:rsidRPr="00D83DCB">
              <w:rPr>
                <w:rFonts w:eastAsia="標楷體"/>
              </w:rPr>
              <w:t>若準備金測試結果超過</w:t>
            </w:r>
            <w:r w:rsidRPr="00FC0AAF">
              <w:rPr>
                <w:rFonts w:eastAsia="標楷體"/>
              </w:rPr>
              <w:t>監控標準時，應提供簽署公司達準備金適足性標準所需立即增提之準備金金額。</w:t>
            </w:r>
          </w:p>
        </w:tc>
        <w:tc>
          <w:tcPr>
            <w:tcW w:w="3827" w:type="dxa"/>
          </w:tcPr>
          <w:p w:rsidR="007A008E" w:rsidRPr="00FC0AAF" w:rsidRDefault="007A008E" w:rsidP="007A008E">
            <w:pPr>
              <w:kinsoku w:val="0"/>
              <w:overflowPunct w:val="0"/>
              <w:spacing w:line="420" w:lineRule="exact"/>
              <w:ind w:left="770" w:hangingChars="321" w:hanging="770"/>
              <w:jc w:val="both"/>
              <w:textAlignment w:val="center"/>
              <w:rPr>
                <w:rFonts w:eastAsia="標楷體"/>
              </w:rPr>
            </w:pPr>
            <w:r w:rsidRPr="00FC0AAF">
              <w:rPr>
                <w:rFonts w:eastAsia="標楷體"/>
              </w:rPr>
              <w:t>六十三之二、簽證精算人員應單獨針對長年期健康保險之準備金適足性適當表達精算意見，至少應包含下列各款：</w:t>
            </w:r>
          </w:p>
          <w:p w:rsidR="007A008E" w:rsidRPr="00935F28" w:rsidRDefault="007A008E" w:rsidP="00935F28">
            <w:pPr>
              <w:pStyle w:val="aa"/>
              <w:numPr>
                <w:ilvl w:val="0"/>
                <w:numId w:val="4"/>
              </w:numPr>
              <w:kinsoku w:val="0"/>
              <w:overflowPunct w:val="0"/>
              <w:spacing w:line="440" w:lineRule="exact"/>
              <w:ind w:leftChars="0"/>
              <w:jc w:val="both"/>
              <w:textAlignment w:val="center"/>
              <w:rPr>
                <w:rFonts w:eastAsia="標楷體"/>
              </w:rPr>
            </w:pPr>
            <w:r w:rsidRPr="00935F28">
              <w:rPr>
                <w:rFonts w:eastAsia="標楷體"/>
              </w:rPr>
              <w:t>針對損失率明顯惡化但公司仍在不調整費率下繼續銷售之個別商品，若有準備金不適足者，應提供簽署公司達準備金適足性標準所需立即增提之準備金金額。</w:t>
            </w:r>
          </w:p>
          <w:p w:rsidR="00935F28" w:rsidRDefault="00935F28" w:rsidP="00935F28">
            <w:pPr>
              <w:kinsoku w:val="0"/>
              <w:overflowPunct w:val="0"/>
              <w:spacing w:line="440" w:lineRule="exact"/>
              <w:jc w:val="both"/>
              <w:textAlignment w:val="center"/>
              <w:rPr>
                <w:rFonts w:eastAsia="標楷體"/>
              </w:rPr>
            </w:pPr>
          </w:p>
          <w:p w:rsidR="00935F28" w:rsidRDefault="00935F28" w:rsidP="00935F28">
            <w:pPr>
              <w:kinsoku w:val="0"/>
              <w:overflowPunct w:val="0"/>
              <w:spacing w:line="440" w:lineRule="exact"/>
              <w:jc w:val="both"/>
              <w:textAlignment w:val="center"/>
              <w:rPr>
                <w:rFonts w:eastAsia="標楷體"/>
              </w:rPr>
            </w:pPr>
          </w:p>
          <w:p w:rsidR="00935F28" w:rsidRPr="00935F28" w:rsidRDefault="00935F28" w:rsidP="00935F28">
            <w:pPr>
              <w:kinsoku w:val="0"/>
              <w:overflowPunct w:val="0"/>
              <w:spacing w:line="440" w:lineRule="exact"/>
              <w:jc w:val="both"/>
              <w:textAlignment w:val="center"/>
              <w:rPr>
                <w:rFonts w:eastAsia="標楷體"/>
              </w:rPr>
            </w:pPr>
          </w:p>
          <w:p w:rsidR="007A008E" w:rsidRPr="0017410F" w:rsidRDefault="007A008E" w:rsidP="00935F28">
            <w:pPr>
              <w:kinsoku w:val="0"/>
              <w:overflowPunct w:val="0"/>
              <w:spacing w:line="440" w:lineRule="exact"/>
              <w:ind w:leftChars="309" w:left="1193" w:hangingChars="188" w:hanging="451"/>
              <w:jc w:val="both"/>
              <w:textAlignment w:val="center"/>
              <w:rPr>
                <w:rFonts w:eastAsia="標楷體"/>
              </w:rPr>
            </w:pPr>
            <w:r>
              <w:rPr>
                <w:rFonts w:eastAsia="標楷體" w:hint="eastAsia"/>
              </w:rPr>
              <w:t>(</w:t>
            </w:r>
            <w:r w:rsidRPr="00FC0AAF">
              <w:rPr>
                <w:rFonts w:eastAsia="標楷體"/>
              </w:rPr>
              <w:t>二</w:t>
            </w:r>
            <w:r>
              <w:rPr>
                <w:rFonts w:eastAsia="標楷體" w:hint="eastAsia"/>
              </w:rPr>
              <w:t>)</w:t>
            </w:r>
            <w:r w:rsidRPr="00FC0AAF">
              <w:rPr>
                <w:rFonts w:eastAsia="標楷體"/>
              </w:rPr>
              <w:t>針對損失率明顯惡化之長年期健康保險商品，應提具準備金監控機制，若準備金測試結果超過監控標準時，應提供簽署公司達準備金適足性標準所需立即增提之準備金金額。</w:t>
            </w:r>
          </w:p>
        </w:tc>
        <w:tc>
          <w:tcPr>
            <w:tcW w:w="1784" w:type="dxa"/>
          </w:tcPr>
          <w:p w:rsidR="007A008E" w:rsidRPr="00935F28" w:rsidRDefault="00935F28" w:rsidP="00935F28">
            <w:pPr>
              <w:kinsoku w:val="0"/>
              <w:overflowPunct w:val="0"/>
              <w:spacing w:line="440" w:lineRule="exact"/>
              <w:jc w:val="both"/>
              <w:textAlignment w:val="center"/>
              <w:rPr>
                <w:rFonts w:eastAsia="標楷體"/>
              </w:rPr>
            </w:pPr>
            <w:r w:rsidRPr="00935F28">
              <w:rPr>
                <w:rFonts w:eastAsia="標楷體"/>
              </w:rPr>
              <w:t>為強化長年期健康保險之準備金適足性精算意見，爰</w:t>
            </w:r>
            <w:r>
              <w:rPr>
                <w:rFonts w:eastAsia="標楷體" w:hint="eastAsia"/>
              </w:rPr>
              <w:t>於第一項第一款</w:t>
            </w:r>
            <w:r w:rsidRPr="00935F28">
              <w:rPr>
                <w:rFonts w:eastAsia="標楷體"/>
              </w:rPr>
              <w:t>增列應分析說明各類商品之損失率，</w:t>
            </w:r>
            <w:r>
              <w:rPr>
                <w:rFonts w:eastAsia="標楷體" w:hint="eastAsia"/>
              </w:rPr>
              <w:t>及第二款增列</w:t>
            </w:r>
            <w:r w:rsidRPr="00935F28">
              <w:rPr>
                <w:rFonts w:eastAsia="標楷體"/>
              </w:rPr>
              <w:t>監控機制應考量商品特性之異同後訂定妥適之監控機制。</w:t>
            </w:r>
          </w:p>
        </w:tc>
      </w:tr>
    </w:tbl>
    <w:p w:rsidR="004F7516" w:rsidRPr="0017410F" w:rsidRDefault="004F7516" w:rsidP="00E011C9">
      <w:pPr>
        <w:kinsoku w:val="0"/>
        <w:overflowPunct w:val="0"/>
        <w:spacing w:line="20" w:lineRule="atLeast"/>
        <w:textAlignment w:val="center"/>
        <w:rPr>
          <w:rFonts w:eastAsia="標楷體"/>
          <w:sz w:val="2"/>
          <w:szCs w:val="2"/>
        </w:rPr>
      </w:pPr>
    </w:p>
    <w:sectPr w:rsidR="004F7516" w:rsidRPr="0017410F">
      <w:footerReference w:type="default" r:id="rId8"/>
      <w:pgSz w:w="11906" w:h="16838" w:code="9"/>
      <w:pgMar w:top="1411" w:right="1411" w:bottom="1411" w:left="1411" w:header="850" w:footer="9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1F7" w:rsidRDefault="00A131F7" w:rsidP="000D04BE">
      <w:r>
        <w:separator/>
      </w:r>
    </w:p>
  </w:endnote>
  <w:endnote w:type="continuationSeparator" w:id="0">
    <w:p w:rsidR="00A131F7" w:rsidRDefault="00A131F7" w:rsidP="000D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A43" w:rsidRPr="00D83DCB" w:rsidRDefault="0046292B">
    <w:pPr>
      <w:pStyle w:val="a3"/>
      <w:jc w:val="center"/>
      <w:rPr>
        <w:rFonts w:eastAsia="標楷體"/>
      </w:rPr>
    </w:pPr>
    <w:r w:rsidRPr="00D83DCB">
      <w:rPr>
        <w:rFonts w:eastAsia="標楷體"/>
      </w:rPr>
      <w:fldChar w:fldCharType="begin"/>
    </w:r>
    <w:r w:rsidRPr="00D83DCB">
      <w:rPr>
        <w:rFonts w:eastAsia="標楷體"/>
      </w:rPr>
      <w:instrText xml:space="preserve"> PAGE   \* MERGEFORMAT </w:instrText>
    </w:r>
    <w:r w:rsidRPr="00D83DCB">
      <w:rPr>
        <w:rFonts w:eastAsia="標楷體"/>
      </w:rPr>
      <w:fldChar w:fldCharType="separate"/>
    </w:r>
    <w:r w:rsidR="00F84720" w:rsidRPr="00F84720">
      <w:rPr>
        <w:rFonts w:eastAsia="標楷體"/>
        <w:noProof/>
        <w:lang w:val="zh-TW"/>
      </w:rPr>
      <w:t>6</w:t>
    </w:r>
    <w:r w:rsidRPr="00D83DCB">
      <w:rPr>
        <w:rFonts w:eastAsia="標楷體"/>
      </w:rPr>
      <w:fldChar w:fldCharType="end"/>
    </w:r>
  </w:p>
  <w:p w:rsidR="00F73A43" w:rsidRDefault="00A131F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1F7" w:rsidRDefault="00A131F7" w:rsidP="000D04BE">
      <w:r>
        <w:separator/>
      </w:r>
    </w:p>
  </w:footnote>
  <w:footnote w:type="continuationSeparator" w:id="0">
    <w:p w:rsidR="00A131F7" w:rsidRDefault="00A131F7" w:rsidP="000D04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75pt;height:9.75pt" o:bullet="t">
        <v:imagedata r:id="rId1" o:title="art96"/>
      </v:shape>
    </w:pict>
  </w:numPicBullet>
  <w:abstractNum w:abstractNumId="0" w15:restartNumberingAfterBreak="0">
    <w:nsid w:val="0B2C3C64"/>
    <w:multiLevelType w:val="hybridMultilevel"/>
    <w:tmpl w:val="3D9863E4"/>
    <w:lvl w:ilvl="0" w:tplc="1DFA74EE">
      <w:start w:val="1"/>
      <w:numFmt w:val="taiwaneseCountingThousand"/>
      <w:lvlText w:val="(%1)"/>
      <w:lvlJc w:val="left"/>
      <w:pPr>
        <w:ind w:left="940" w:hanging="4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1B327A9"/>
    <w:multiLevelType w:val="hybridMultilevel"/>
    <w:tmpl w:val="687CD5D2"/>
    <w:lvl w:ilvl="0" w:tplc="A21237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241625"/>
    <w:multiLevelType w:val="hybridMultilevel"/>
    <w:tmpl w:val="94308FD0"/>
    <w:lvl w:ilvl="0" w:tplc="404611BA">
      <w:start w:val="1"/>
      <w:numFmt w:val="taiwaneseCountingThousand"/>
      <w:lvlText w:val="(%1)"/>
      <w:lvlJc w:val="left"/>
      <w:pPr>
        <w:ind w:left="1177" w:hanging="435"/>
      </w:pPr>
      <w:rPr>
        <w:rFonts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3" w15:restartNumberingAfterBreak="0">
    <w:nsid w:val="6F0E2B82"/>
    <w:multiLevelType w:val="hybridMultilevel"/>
    <w:tmpl w:val="9A8EC91A"/>
    <w:lvl w:ilvl="0" w:tplc="0409000F">
      <w:start w:val="1"/>
      <w:numFmt w:val="decimal"/>
      <w:lvlText w:val="%1."/>
      <w:lvlJc w:val="left"/>
      <w:pPr>
        <w:ind w:left="442" w:hanging="480"/>
      </w:pPr>
    </w:lvl>
    <w:lvl w:ilvl="1" w:tplc="04090019" w:tentative="1">
      <w:start w:val="1"/>
      <w:numFmt w:val="ideographTraditional"/>
      <w:lvlText w:val="%2、"/>
      <w:lvlJc w:val="left"/>
      <w:pPr>
        <w:ind w:left="922" w:hanging="480"/>
      </w:p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DBD"/>
    <w:rsid w:val="00012122"/>
    <w:rsid w:val="000145E8"/>
    <w:rsid w:val="000A799A"/>
    <w:rsid w:val="000D04BE"/>
    <w:rsid w:val="001477B3"/>
    <w:rsid w:val="0017410F"/>
    <w:rsid w:val="001A2DE9"/>
    <w:rsid w:val="001D7BC8"/>
    <w:rsid w:val="0022102F"/>
    <w:rsid w:val="002367D8"/>
    <w:rsid w:val="0024014C"/>
    <w:rsid w:val="002664BC"/>
    <w:rsid w:val="002701E2"/>
    <w:rsid w:val="002D29C0"/>
    <w:rsid w:val="002F632D"/>
    <w:rsid w:val="003E4D77"/>
    <w:rsid w:val="00414545"/>
    <w:rsid w:val="0046292B"/>
    <w:rsid w:val="004B49A2"/>
    <w:rsid w:val="004C4109"/>
    <w:rsid w:val="004C54E4"/>
    <w:rsid w:val="004D6AE1"/>
    <w:rsid w:val="004D7026"/>
    <w:rsid w:val="004F7516"/>
    <w:rsid w:val="005059A4"/>
    <w:rsid w:val="00527C56"/>
    <w:rsid w:val="005316CC"/>
    <w:rsid w:val="00547D42"/>
    <w:rsid w:val="00563CAA"/>
    <w:rsid w:val="00564DBD"/>
    <w:rsid w:val="00584CC1"/>
    <w:rsid w:val="00587C00"/>
    <w:rsid w:val="005F18D7"/>
    <w:rsid w:val="00615678"/>
    <w:rsid w:val="0068636E"/>
    <w:rsid w:val="006B7B1C"/>
    <w:rsid w:val="006E393E"/>
    <w:rsid w:val="006F1798"/>
    <w:rsid w:val="007A008E"/>
    <w:rsid w:val="007A7E53"/>
    <w:rsid w:val="007E4A19"/>
    <w:rsid w:val="007F477F"/>
    <w:rsid w:val="00847078"/>
    <w:rsid w:val="00860091"/>
    <w:rsid w:val="00890533"/>
    <w:rsid w:val="008A6C16"/>
    <w:rsid w:val="008B0148"/>
    <w:rsid w:val="008B4DA6"/>
    <w:rsid w:val="008F46D8"/>
    <w:rsid w:val="00920618"/>
    <w:rsid w:val="00922D00"/>
    <w:rsid w:val="00935F28"/>
    <w:rsid w:val="00954AA0"/>
    <w:rsid w:val="00984FC2"/>
    <w:rsid w:val="009C245C"/>
    <w:rsid w:val="009D68E8"/>
    <w:rsid w:val="009D7843"/>
    <w:rsid w:val="00A131F7"/>
    <w:rsid w:val="00A32870"/>
    <w:rsid w:val="00A71D99"/>
    <w:rsid w:val="00B14C24"/>
    <w:rsid w:val="00B85372"/>
    <w:rsid w:val="00B91734"/>
    <w:rsid w:val="00BA4889"/>
    <w:rsid w:val="00BA6087"/>
    <w:rsid w:val="00BE7255"/>
    <w:rsid w:val="00C55BAB"/>
    <w:rsid w:val="00C64B10"/>
    <w:rsid w:val="00CA79A7"/>
    <w:rsid w:val="00CD4098"/>
    <w:rsid w:val="00D0442D"/>
    <w:rsid w:val="00D30DC9"/>
    <w:rsid w:val="00D456D0"/>
    <w:rsid w:val="00D6704D"/>
    <w:rsid w:val="00D83DCB"/>
    <w:rsid w:val="00DC6DA1"/>
    <w:rsid w:val="00DE19B3"/>
    <w:rsid w:val="00E011C9"/>
    <w:rsid w:val="00E43458"/>
    <w:rsid w:val="00EB7A26"/>
    <w:rsid w:val="00F1290E"/>
    <w:rsid w:val="00F46916"/>
    <w:rsid w:val="00F84720"/>
    <w:rsid w:val="00FC0CC3"/>
    <w:rsid w:val="00FF30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2B5DE1-C197-4AC5-B90C-405597AC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02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D7026"/>
    <w:pPr>
      <w:tabs>
        <w:tab w:val="center" w:pos="4153"/>
        <w:tab w:val="right" w:pos="8306"/>
      </w:tabs>
      <w:snapToGrid w:val="0"/>
    </w:pPr>
    <w:rPr>
      <w:sz w:val="20"/>
      <w:szCs w:val="20"/>
    </w:rPr>
  </w:style>
  <w:style w:type="character" w:customStyle="1" w:styleId="a4">
    <w:name w:val="頁尾 字元"/>
    <w:basedOn w:val="a0"/>
    <w:link w:val="a3"/>
    <w:rsid w:val="004D7026"/>
    <w:rPr>
      <w:rFonts w:ascii="Times New Roman" w:eastAsia="新細明體" w:hAnsi="Times New Roman" w:cs="Times New Roman"/>
      <w:sz w:val="20"/>
      <w:szCs w:val="20"/>
    </w:rPr>
  </w:style>
  <w:style w:type="paragraph" w:styleId="a5">
    <w:name w:val="Body Text Indent"/>
    <w:basedOn w:val="a"/>
    <w:link w:val="a6"/>
    <w:rsid w:val="004D7026"/>
    <w:pPr>
      <w:spacing w:after="120"/>
      <w:ind w:leftChars="200" w:left="480"/>
    </w:pPr>
    <w:rPr>
      <w:lang w:val="x-none" w:eastAsia="x-none"/>
    </w:rPr>
  </w:style>
  <w:style w:type="character" w:customStyle="1" w:styleId="a6">
    <w:name w:val="本文縮排 字元"/>
    <w:basedOn w:val="a0"/>
    <w:link w:val="a5"/>
    <w:rsid w:val="004D7026"/>
    <w:rPr>
      <w:rFonts w:ascii="Times New Roman" w:eastAsia="新細明體" w:hAnsi="Times New Roman" w:cs="Times New Roman"/>
      <w:szCs w:val="24"/>
      <w:lang w:val="x-none" w:eastAsia="x-none"/>
    </w:rPr>
  </w:style>
  <w:style w:type="paragraph" w:customStyle="1" w:styleId="a7">
    <w:name w:val="公文(後續段落)"/>
    <w:basedOn w:val="a"/>
    <w:rsid w:val="004D7026"/>
    <w:pPr>
      <w:spacing w:line="500" w:lineRule="exact"/>
      <w:ind w:left="317"/>
    </w:pPr>
    <w:rPr>
      <w:rFonts w:eastAsia="標楷體"/>
      <w:sz w:val="32"/>
      <w:szCs w:val="32"/>
    </w:rPr>
  </w:style>
  <w:style w:type="paragraph" w:styleId="a8">
    <w:name w:val="header"/>
    <w:basedOn w:val="a"/>
    <w:link w:val="a9"/>
    <w:uiPriority w:val="99"/>
    <w:unhideWhenUsed/>
    <w:rsid w:val="000D04BE"/>
    <w:pPr>
      <w:tabs>
        <w:tab w:val="center" w:pos="4153"/>
        <w:tab w:val="right" w:pos="8306"/>
      </w:tabs>
      <w:snapToGrid w:val="0"/>
    </w:pPr>
    <w:rPr>
      <w:sz w:val="20"/>
      <w:szCs w:val="20"/>
    </w:rPr>
  </w:style>
  <w:style w:type="character" w:customStyle="1" w:styleId="a9">
    <w:name w:val="頁首 字元"/>
    <w:basedOn w:val="a0"/>
    <w:link w:val="a8"/>
    <w:uiPriority w:val="99"/>
    <w:rsid w:val="000D04BE"/>
    <w:rPr>
      <w:rFonts w:ascii="Times New Roman" w:eastAsia="新細明體" w:hAnsi="Times New Roman" w:cs="Times New Roman"/>
      <w:sz w:val="20"/>
      <w:szCs w:val="20"/>
    </w:rPr>
  </w:style>
  <w:style w:type="paragraph" w:styleId="Web">
    <w:name w:val="Normal (Web)"/>
    <w:basedOn w:val="a"/>
    <w:uiPriority w:val="99"/>
    <w:unhideWhenUsed/>
    <w:rsid w:val="007A7E53"/>
    <w:pPr>
      <w:widowControl/>
      <w:spacing w:before="100" w:beforeAutospacing="1" w:after="100" w:afterAutospacing="1"/>
    </w:pPr>
    <w:rPr>
      <w:rFonts w:ascii="新細明體" w:hAnsi="新細明體" w:cs="新細明體"/>
      <w:kern w:val="0"/>
    </w:rPr>
  </w:style>
  <w:style w:type="paragraph" w:styleId="aa">
    <w:name w:val="List Paragraph"/>
    <w:basedOn w:val="a"/>
    <w:uiPriority w:val="34"/>
    <w:qFormat/>
    <w:rsid w:val="00935F2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041551">
      <w:bodyDiv w:val="1"/>
      <w:marLeft w:val="0"/>
      <w:marRight w:val="0"/>
      <w:marTop w:val="0"/>
      <w:marBottom w:val="0"/>
      <w:divBdr>
        <w:top w:val="none" w:sz="0" w:space="0" w:color="auto"/>
        <w:left w:val="none" w:sz="0" w:space="0" w:color="auto"/>
        <w:bottom w:val="none" w:sz="0" w:space="0" w:color="auto"/>
        <w:right w:val="none" w:sz="0" w:space="0" w:color="auto"/>
      </w:divBdr>
    </w:div>
    <w:div w:id="1627811406">
      <w:bodyDiv w:val="1"/>
      <w:marLeft w:val="0"/>
      <w:marRight w:val="0"/>
      <w:marTop w:val="0"/>
      <w:marBottom w:val="0"/>
      <w:divBdr>
        <w:top w:val="none" w:sz="0" w:space="0" w:color="auto"/>
        <w:left w:val="none" w:sz="0" w:space="0" w:color="auto"/>
        <w:bottom w:val="none" w:sz="0" w:space="0" w:color="auto"/>
        <w:right w:val="none" w:sz="0" w:space="0" w:color="auto"/>
      </w:divBdr>
    </w:div>
    <w:div w:id="1742556568">
      <w:bodyDiv w:val="1"/>
      <w:marLeft w:val="0"/>
      <w:marRight w:val="0"/>
      <w:marTop w:val="0"/>
      <w:marBottom w:val="0"/>
      <w:divBdr>
        <w:top w:val="none" w:sz="0" w:space="0" w:color="auto"/>
        <w:left w:val="none" w:sz="0" w:space="0" w:color="auto"/>
        <w:bottom w:val="none" w:sz="0" w:space="0" w:color="auto"/>
        <w:right w:val="none" w:sz="0" w:space="0" w:color="auto"/>
      </w:divBdr>
      <w:divsChild>
        <w:div w:id="1141311968">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D80FD-B9DE-48E8-9C0B-38273EBA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侯丁月</dc:creator>
  <cp:keywords/>
  <dc:description/>
  <cp:lastModifiedBy>侯丁月</cp:lastModifiedBy>
  <cp:revision>6</cp:revision>
  <dcterms:created xsi:type="dcterms:W3CDTF">2016-12-07T11:04:00Z</dcterms:created>
  <dcterms:modified xsi:type="dcterms:W3CDTF">2016-12-12T07:51:00Z</dcterms:modified>
</cp:coreProperties>
</file>