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FE" w:rsidRPr="00640FDC" w:rsidRDefault="000C3CFE" w:rsidP="00640FDC">
      <w:pPr>
        <w:rPr>
          <w:rFonts w:ascii="標楷體" w:eastAsia="標楷體" w:hAnsi="標楷體"/>
          <w:sz w:val="40"/>
          <w:szCs w:val="40"/>
        </w:rPr>
      </w:pPr>
      <w:bookmarkStart w:id="0" w:name="_GoBack"/>
      <w:bookmarkEnd w:id="0"/>
      <w:r w:rsidRPr="00087BF5">
        <w:rPr>
          <w:rFonts w:ascii="標楷體" w:eastAsia="標楷體" w:hAnsi="標楷體" w:hint="eastAsia"/>
          <w:sz w:val="40"/>
          <w:szCs w:val="40"/>
        </w:rPr>
        <w:t>金融業特別準備金運用管理辦法</w:t>
      </w:r>
    </w:p>
    <w:p w:rsidR="000C3CFE" w:rsidRPr="00BB7A87" w:rsidRDefault="004355DB" w:rsidP="00450030">
      <w:pPr>
        <w:spacing w:line="500" w:lineRule="exact"/>
        <w:ind w:left="848" w:hangingChars="303" w:hanging="848"/>
        <w:jc w:val="both"/>
        <w:rPr>
          <w:rFonts w:ascii="標楷體" w:eastAsia="標楷體" w:hAnsi="標楷體"/>
          <w:sz w:val="28"/>
          <w:szCs w:val="28"/>
        </w:rPr>
      </w:pPr>
      <w:r w:rsidRPr="00BB7A87">
        <w:rPr>
          <w:rFonts w:ascii="標楷體" w:eastAsia="標楷體" w:hAnsi="標楷體" w:hint="eastAsia"/>
          <w:sz w:val="28"/>
          <w:szCs w:val="28"/>
        </w:rPr>
        <w:t>第一條</w:t>
      </w:r>
      <w:r w:rsidR="00BB7A87">
        <w:rPr>
          <w:rFonts w:ascii="標楷體" w:eastAsia="標楷體" w:hAnsi="標楷體" w:hint="eastAsia"/>
          <w:sz w:val="28"/>
          <w:szCs w:val="28"/>
        </w:rPr>
        <w:t xml:space="preserve">    </w:t>
      </w:r>
      <w:r w:rsidR="000C3CFE" w:rsidRPr="00BB7A87">
        <w:rPr>
          <w:rFonts w:ascii="標楷體" w:eastAsia="標楷體" w:hAnsi="標楷體" w:hint="eastAsia"/>
          <w:sz w:val="28"/>
          <w:szCs w:val="28"/>
        </w:rPr>
        <w:t>本辦法依加值型及非加值型營業稅法第十一條第三項規定訂定之。</w:t>
      </w:r>
    </w:p>
    <w:p w:rsidR="000C3CFE" w:rsidRPr="00BB7A87" w:rsidRDefault="004355DB" w:rsidP="00450030">
      <w:pPr>
        <w:spacing w:line="500" w:lineRule="exact"/>
        <w:ind w:left="848" w:hangingChars="303" w:hanging="848"/>
        <w:jc w:val="both"/>
        <w:rPr>
          <w:rFonts w:ascii="標楷體" w:eastAsia="標楷體" w:hAnsi="標楷體"/>
          <w:sz w:val="28"/>
          <w:szCs w:val="28"/>
        </w:rPr>
      </w:pPr>
      <w:r w:rsidRPr="00BB7A87">
        <w:rPr>
          <w:rFonts w:ascii="標楷體" w:eastAsia="標楷體" w:hAnsi="標楷體" w:hint="eastAsia"/>
          <w:sz w:val="28"/>
          <w:szCs w:val="28"/>
        </w:rPr>
        <w:t xml:space="preserve">第二條  </w:t>
      </w:r>
      <w:r w:rsidR="00BB7A87">
        <w:rPr>
          <w:rFonts w:ascii="標楷體" w:eastAsia="標楷體" w:hAnsi="標楷體" w:hint="eastAsia"/>
          <w:sz w:val="28"/>
          <w:szCs w:val="28"/>
        </w:rPr>
        <w:t xml:space="preserve">  </w:t>
      </w:r>
      <w:r w:rsidR="000C3CFE" w:rsidRPr="00BB7A87">
        <w:rPr>
          <w:rFonts w:ascii="標楷體" w:eastAsia="標楷體" w:hAnsi="標楷體" w:hint="eastAsia"/>
          <w:sz w:val="28"/>
          <w:szCs w:val="28"/>
        </w:rPr>
        <w:t>金融業特別準備金</w:t>
      </w:r>
      <w:r w:rsidR="000C3CFE" w:rsidRPr="00BB7A87">
        <w:rPr>
          <w:rFonts w:ascii="標楷體" w:eastAsia="標楷體" w:hAnsi="標楷體"/>
          <w:sz w:val="28"/>
          <w:szCs w:val="28"/>
        </w:rPr>
        <w:t>(</w:t>
      </w:r>
      <w:r w:rsidR="000C3CFE" w:rsidRPr="00BB7A87">
        <w:rPr>
          <w:rFonts w:ascii="標楷體" w:eastAsia="標楷體" w:hAnsi="標楷體" w:hint="eastAsia"/>
          <w:sz w:val="28"/>
          <w:szCs w:val="28"/>
        </w:rPr>
        <w:t>以下簡稱本準備金</w:t>
      </w:r>
      <w:r w:rsidR="000C3CFE" w:rsidRPr="00BB7A87">
        <w:rPr>
          <w:rFonts w:ascii="標楷體" w:eastAsia="標楷體" w:hAnsi="標楷體"/>
          <w:sz w:val="28"/>
          <w:szCs w:val="28"/>
        </w:rPr>
        <w:t>)</w:t>
      </w:r>
      <w:r w:rsidR="000C3CFE" w:rsidRPr="00BB7A87">
        <w:rPr>
          <w:rFonts w:ascii="標楷體" w:eastAsia="標楷體" w:hAnsi="標楷體" w:hint="eastAsia"/>
          <w:sz w:val="28"/>
          <w:szCs w:val="28"/>
        </w:rPr>
        <w:t>以金融監督管理委員會為管理機關，納入金融監督管理基金項下辦理之業務計畫，並設立專款專用帳戶；其運用與管理依本辦法之規定，本辦法未規定者，依金融監督管理基金收支保管及運用辦法辦理。</w:t>
      </w:r>
    </w:p>
    <w:p w:rsidR="000C3CFE" w:rsidRPr="00BB7A87" w:rsidRDefault="004355DB" w:rsidP="00450030">
      <w:pPr>
        <w:spacing w:line="500" w:lineRule="exact"/>
        <w:jc w:val="both"/>
        <w:rPr>
          <w:rFonts w:ascii="標楷體" w:eastAsia="標楷體" w:hAnsi="標楷體"/>
          <w:sz w:val="28"/>
          <w:szCs w:val="28"/>
        </w:rPr>
      </w:pPr>
      <w:r w:rsidRPr="00BB7A87">
        <w:rPr>
          <w:rFonts w:ascii="標楷體" w:eastAsia="標楷體" w:hAnsi="標楷體" w:hint="eastAsia"/>
          <w:sz w:val="28"/>
          <w:szCs w:val="28"/>
        </w:rPr>
        <w:t>第三條</w:t>
      </w:r>
      <w:r w:rsidR="00BB7A87">
        <w:rPr>
          <w:rFonts w:ascii="標楷體" w:eastAsia="標楷體" w:hAnsi="標楷體" w:hint="eastAsia"/>
          <w:sz w:val="28"/>
          <w:szCs w:val="28"/>
        </w:rPr>
        <w:t xml:space="preserve">  </w:t>
      </w:r>
      <w:r w:rsidRPr="00BB7A87">
        <w:rPr>
          <w:rFonts w:ascii="標楷體" w:eastAsia="標楷體" w:hAnsi="標楷體" w:hint="eastAsia"/>
          <w:sz w:val="28"/>
          <w:szCs w:val="28"/>
        </w:rPr>
        <w:t xml:space="preserve">  </w:t>
      </w:r>
      <w:r w:rsidR="000C3CFE" w:rsidRPr="00BB7A87">
        <w:rPr>
          <w:rFonts w:ascii="標楷體" w:eastAsia="標楷體" w:hAnsi="標楷體" w:hint="eastAsia"/>
          <w:sz w:val="28"/>
          <w:szCs w:val="28"/>
        </w:rPr>
        <w:t>本準備金之財源如下：</w:t>
      </w:r>
    </w:p>
    <w:p w:rsidR="00BB7A87" w:rsidRDefault="000C3CFE" w:rsidP="00450030">
      <w:pPr>
        <w:numPr>
          <w:ilvl w:val="0"/>
          <w:numId w:val="1"/>
        </w:numPr>
        <w:spacing w:line="500" w:lineRule="exact"/>
        <w:ind w:left="1418" w:hanging="567"/>
        <w:jc w:val="both"/>
        <w:rPr>
          <w:rFonts w:ascii="標楷體" w:eastAsia="標楷體" w:hAnsi="標楷體"/>
          <w:sz w:val="28"/>
          <w:szCs w:val="28"/>
        </w:rPr>
      </w:pPr>
      <w:r w:rsidRPr="00BB7A87">
        <w:rPr>
          <w:rFonts w:ascii="標楷體" w:eastAsia="標楷體" w:hAnsi="標楷體" w:hint="eastAsia"/>
          <w:sz w:val="28"/>
          <w:szCs w:val="28"/>
        </w:rPr>
        <w:t>自中華民國一百年一月一日起至一百零三年六月三十日止之保險業、信託投資業、證券業、期貨業、票券業及典當業</w:t>
      </w:r>
      <w:r w:rsidRPr="00BB7A87">
        <w:rPr>
          <w:rFonts w:ascii="標楷體" w:eastAsia="標楷體" w:hAnsi="標楷體"/>
          <w:sz w:val="28"/>
          <w:szCs w:val="28"/>
        </w:rPr>
        <w:t>(</w:t>
      </w:r>
      <w:r w:rsidRPr="00BB7A87">
        <w:rPr>
          <w:rFonts w:ascii="標楷體" w:eastAsia="標楷體" w:hAnsi="標楷體" w:hint="eastAsia"/>
          <w:sz w:val="28"/>
          <w:szCs w:val="28"/>
        </w:rPr>
        <w:t>以下簡稱銀行業以外金融業</w:t>
      </w:r>
      <w:r w:rsidRPr="00BB7A87">
        <w:rPr>
          <w:rFonts w:ascii="標楷體" w:eastAsia="標楷體" w:hAnsi="標楷體"/>
          <w:sz w:val="28"/>
          <w:szCs w:val="28"/>
        </w:rPr>
        <w:t>)</w:t>
      </w:r>
      <w:r w:rsidRPr="00BB7A87">
        <w:rPr>
          <w:rFonts w:ascii="標楷體" w:eastAsia="標楷體" w:hAnsi="標楷體" w:hint="eastAsia"/>
          <w:sz w:val="28"/>
          <w:szCs w:val="28"/>
        </w:rPr>
        <w:t>營業稅稅款。</w:t>
      </w:r>
    </w:p>
    <w:p w:rsidR="00BB7A87" w:rsidRDefault="000C3CFE" w:rsidP="00450030">
      <w:pPr>
        <w:numPr>
          <w:ilvl w:val="0"/>
          <w:numId w:val="1"/>
        </w:numPr>
        <w:spacing w:line="500" w:lineRule="exact"/>
        <w:ind w:left="1418" w:hanging="567"/>
        <w:jc w:val="both"/>
        <w:rPr>
          <w:rFonts w:ascii="標楷體" w:eastAsia="標楷體" w:hAnsi="標楷體"/>
          <w:sz w:val="28"/>
          <w:szCs w:val="28"/>
        </w:rPr>
      </w:pPr>
      <w:r w:rsidRPr="00BB7A87">
        <w:rPr>
          <w:rFonts w:ascii="標楷體" w:eastAsia="標楷體" w:hAnsi="標楷體" w:hint="eastAsia"/>
          <w:sz w:val="28"/>
          <w:szCs w:val="28"/>
        </w:rPr>
        <w:t>自一百零三年七月一日起至一百十三年十二月三十一日止，依一百零三年六月四日修正公布之加值型及非加值型營業稅法第十一條第三項所定之銀行業、保險業、信託投資業、證券業、期貨業、票券業及典當業</w:t>
      </w:r>
      <w:r w:rsidRPr="00BB7A87">
        <w:rPr>
          <w:rFonts w:ascii="標楷體" w:eastAsia="標楷體" w:hAnsi="標楷體"/>
          <w:sz w:val="28"/>
          <w:szCs w:val="28"/>
        </w:rPr>
        <w:t>(</w:t>
      </w:r>
      <w:r w:rsidRPr="00BB7A87">
        <w:rPr>
          <w:rFonts w:ascii="標楷體" w:eastAsia="標楷體" w:hAnsi="標楷體" w:hint="eastAsia"/>
          <w:sz w:val="28"/>
          <w:szCs w:val="28"/>
        </w:rPr>
        <w:t>以下簡稱金融業</w:t>
      </w:r>
      <w:r w:rsidRPr="00BB7A87">
        <w:rPr>
          <w:rFonts w:ascii="標楷體" w:eastAsia="標楷體" w:hAnsi="標楷體"/>
          <w:sz w:val="28"/>
          <w:szCs w:val="28"/>
        </w:rPr>
        <w:t>)</w:t>
      </w:r>
      <w:r w:rsidRPr="00BB7A87">
        <w:rPr>
          <w:rFonts w:ascii="標楷體" w:eastAsia="標楷體" w:hAnsi="標楷體" w:hint="eastAsia"/>
          <w:sz w:val="28"/>
          <w:szCs w:val="28"/>
        </w:rPr>
        <w:t>營業稅稅款。</w:t>
      </w:r>
    </w:p>
    <w:p w:rsidR="000C3CFE" w:rsidRPr="00BB7A87" w:rsidRDefault="000C3CFE" w:rsidP="00450030">
      <w:pPr>
        <w:numPr>
          <w:ilvl w:val="0"/>
          <w:numId w:val="1"/>
        </w:numPr>
        <w:spacing w:line="500" w:lineRule="exact"/>
        <w:ind w:left="1418" w:hanging="567"/>
        <w:jc w:val="both"/>
        <w:rPr>
          <w:rFonts w:ascii="標楷體" w:eastAsia="標楷體" w:hAnsi="標楷體"/>
          <w:sz w:val="28"/>
          <w:szCs w:val="28"/>
        </w:rPr>
      </w:pPr>
      <w:r w:rsidRPr="00BB7A87">
        <w:rPr>
          <w:rFonts w:ascii="標楷體" w:eastAsia="標楷體" w:hAnsi="標楷體" w:hint="eastAsia"/>
          <w:sz w:val="28"/>
          <w:szCs w:val="28"/>
        </w:rPr>
        <w:t>本準備金孳息及運用之收益。</w:t>
      </w:r>
    </w:p>
    <w:p w:rsidR="000C3CFE" w:rsidRPr="00BB7A87" w:rsidRDefault="000C3CFE" w:rsidP="00450030">
      <w:pPr>
        <w:spacing w:line="500" w:lineRule="exact"/>
        <w:jc w:val="both"/>
        <w:rPr>
          <w:rFonts w:ascii="標楷體" w:eastAsia="標楷體" w:hAnsi="標楷體"/>
          <w:sz w:val="28"/>
          <w:szCs w:val="28"/>
        </w:rPr>
      </w:pPr>
      <w:r w:rsidRPr="00BB7A87">
        <w:rPr>
          <w:rFonts w:ascii="標楷體" w:eastAsia="標楷體" w:hAnsi="標楷體" w:hint="eastAsia"/>
          <w:sz w:val="28"/>
          <w:szCs w:val="28"/>
        </w:rPr>
        <w:t>第四條</w:t>
      </w:r>
      <w:r w:rsidRPr="00BB7A87">
        <w:rPr>
          <w:rFonts w:ascii="標楷體" w:eastAsia="標楷體" w:hAnsi="標楷體"/>
          <w:sz w:val="28"/>
          <w:szCs w:val="28"/>
        </w:rPr>
        <w:t xml:space="preserve"> </w:t>
      </w:r>
      <w:r w:rsidR="00BB7A87">
        <w:rPr>
          <w:rFonts w:ascii="標楷體" w:eastAsia="標楷體" w:hAnsi="標楷體" w:hint="eastAsia"/>
          <w:sz w:val="28"/>
          <w:szCs w:val="28"/>
        </w:rPr>
        <w:t xml:space="preserve">  </w:t>
      </w:r>
      <w:r w:rsidRPr="00BB7A87">
        <w:rPr>
          <w:rFonts w:ascii="標楷體" w:eastAsia="標楷體" w:hAnsi="標楷體"/>
          <w:sz w:val="28"/>
          <w:szCs w:val="28"/>
        </w:rPr>
        <w:t xml:space="preserve"> </w:t>
      </w:r>
      <w:r w:rsidRPr="00BB7A87">
        <w:rPr>
          <w:rFonts w:ascii="標楷體" w:eastAsia="標楷體" w:hAnsi="標楷體" w:hint="eastAsia"/>
          <w:sz w:val="28"/>
          <w:szCs w:val="28"/>
        </w:rPr>
        <w:t>本準備金之用途如下</w:t>
      </w:r>
      <w:r w:rsidRPr="00BB7A87">
        <w:rPr>
          <w:rFonts w:ascii="標楷體" w:eastAsia="標楷體" w:hAnsi="標楷體"/>
          <w:sz w:val="28"/>
          <w:szCs w:val="28"/>
        </w:rPr>
        <w:t>:</w:t>
      </w:r>
      <w:r w:rsidRPr="00BB7A87">
        <w:rPr>
          <w:rFonts w:ascii="標楷體" w:eastAsia="標楷體" w:hAnsi="標楷體" w:hint="eastAsia"/>
          <w:sz w:val="28"/>
          <w:szCs w:val="28"/>
        </w:rPr>
        <w:t xml:space="preserve">  </w:t>
      </w:r>
    </w:p>
    <w:p w:rsidR="00BB7A87" w:rsidRDefault="000C3CFE" w:rsidP="00450030">
      <w:pPr>
        <w:numPr>
          <w:ilvl w:val="0"/>
          <w:numId w:val="2"/>
        </w:numPr>
        <w:spacing w:line="500" w:lineRule="exact"/>
        <w:ind w:leftChars="355" w:left="1418" w:hangingChars="202" w:hanging="566"/>
        <w:jc w:val="both"/>
        <w:rPr>
          <w:rFonts w:ascii="標楷體" w:eastAsia="標楷體" w:hAnsi="標楷體"/>
          <w:sz w:val="28"/>
          <w:szCs w:val="28"/>
        </w:rPr>
      </w:pPr>
      <w:r w:rsidRPr="00BB7A87">
        <w:rPr>
          <w:rFonts w:ascii="標楷體" w:eastAsia="標楷體" w:hAnsi="標楷體" w:hint="eastAsia"/>
          <w:sz w:val="28"/>
          <w:szCs w:val="28"/>
        </w:rPr>
        <w:t>前條第一款之財源及其孳息、運用之收益，其用途以支應銀行業以外金融業有關業法明定有退場處理規定者為限。</w:t>
      </w:r>
    </w:p>
    <w:p w:rsidR="000C3CFE" w:rsidRPr="00BB7A87" w:rsidRDefault="000C3CFE" w:rsidP="00450030">
      <w:pPr>
        <w:numPr>
          <w:ilvl w:val="0"/>
          <w:numId w:val="2"/>
        </w:numPr>
        <w:spacing w:line="500" w:lineRule="exact"/>
        <w:ind w:leftChars="355" w:left="1418" w:hangingChars="202" w:hanging="566"/>
        <w:jc w:val="both"/>
        <w:rPr>
          <w:rFonts w:ascii="標楷體" w:eastAsia="標楷體" w:hAnsi="標楷體"/>
          <w:sz w:val="28"/>
          <w:szCs w:val="28"/>
        </w:rPr>
      </w:pPr>
      <w:r w:rsidRPr="00BB7A87">
        <w:rPr>
          <w:rFonts w:ascii="標楷體" w:eastAsia="標楷體" w:hAnsi="標楷體" w:hint="eastAsia"/>
          <w:sz w:val="28"/>
          <w:szCs w:val="28"/>
        </w:rPr>
        <w:t>前條第二款之財源及其孳息、運用之收益，其用途以支應金融業有關業法明定有退場處理規定者為限。</w:t>
      </w:r>
    </w:p>
    <w:p w:rsidR="000C3CFE" w:rsidRPr="00BB7A87" w:rsidRDefault="000C3CFE" w:rsidP="00450030">
      <w:pPr>
        <w:spacing w:line="500" w:lineRule="exact"/>
        <w:ind w:leftChars="354" w:left="850" w:firstLineChars="202" w:firstLine="566"/>
        <w:jc w:val="both"/>
        <w:rPr>
          <w:rFonts w:ascii="標楷體" w:eastAsia="標楷體" w:hAnsi="標楷體"/>
          <w:sz w:val="28"/>
          <w:szCs w:val="28"/>
        </w:rPr>
      </w:pPr>
      <w:r w:rsidRPr="00BB7A87">
        <w:rPr>
          <w:rFonts w:ascii="標楷體" w:eastAsia="標楷體" w:hAnsi="標楷體" w:hint="eastAsia"/>
          <w:sz w:val="28"/>
          <w:szCs w:val="28"/>
        </w:rPr>
        <w:t>金融業有關業法所定各該業別退場處理機構，其辦理各該業法所定退場處理事項而有資金不足情形時，得提出動支計畫，報經本準備金管理機關核准後，動支本準備金。</w:t>
      </w:r>
    </w:p>
    <w:p w:rsidR="000C3CFE" w:rsidRPr="00BB7A87" w:rsidRDefault="000C3CFE" w:rsidP="00450030">
      <w:pPr>
        <w:spacing w:line="500" w:lineRule="exact"/>
        <w:jc w:val="both"/>
        <w:rPr>
          <w:rFonts w:ascii="標楷體" w:eastAsia="標楷體" w:hAnsi="標楷體"/>
          <w:sz w:val="28"/>
          <w:szCs w:val="28"/>
        </w:rPr>
      </w:pPr>
      <w:r w:rsidRPr="00BB7A87">
        <w:rPr>
          <w:rFonts w:ascii="標楷體" w:eastAsia="標楷體" w:hAnsi="標楷體" w:hint="eastAsia"/>
          <w:sz w:val="28"/>
          <w:szCs w:val="28"/>
        </w:rPr>
        <w:lastRenderedPageBreak/>
        <w:t>第五條</w:t>
      </w:r>
      <w:r w:rsidRPr="00BB7A87">
        <w:rPr>
          <w:rFonts w:ascii="標楷體" w:eastAsia="標楷體" w:hAnsi="標楷體"/>
          <w:sz w:val="28"/>
          <w:szCs w:val="28"/>
        </w:rPr>
        <w:t xml:space="preserve"> </w:t>
      </w:r>
      <w:r w:rsidR="00BB7A87">
        <w:rPr>
          <w:rFonts w:ascii="標楷體" w:eastAsia="標楷體" w:hAnsi="標楷體" w:hint="eastAsia"/>
          <w:sz w:val="28"/>
          <w:szCs w:val="28"/>
        </w:rPr>
        <w:t xml:space="preserve">  </w:t>
      </w:r>
      <w:r w:rsidRPr="00BB7A87">
        <w:rPr>
          <w:rFonts w:ascii="標楷體" w:eastAsia="標楷體" w:hAnsi="標楷體"/>
          <w:sz w:val="28"/>
          <w:szCs w:val="28"/>
        </w:rPr>
        <w:t xml:space="preserve"> </w:t>
      </w:r>
      <w:r w:rsidRPr="00BB7A87">
        <w:rPr>
          <w:rFonts w:ascii="標楷體" w:eastAsia="標楷體" w:hAnsi="標楷體" w:hint="eastAsia"/>
          <w:sz w:val="28"/>
          <w:szCs w:val="28"/>
        </w:rPr>
        <w:t>本準備金之管理機關，任務如下：</w:t>
      </w:r>
    </w:p>
    <w:p w:rsidR="000C3CFE" w:rsidRPr="00BB7A87" w:rsidRDefault="000C3CFE" w:rsidP="00450030">
      <w:pPr>
        <w:numPr>
          <w:ilvl w:val="0"/>
          <w:numId w:val="3"/>
        </w:numPr>
        <w:spacing w:line="500" w:lineRule="exact"/>
        <w:ind w:firstLine="90"/>
        <w:jc w:val="both"/>
        <w:rPr>
          <w:rFonts w:ascii="標楷體" w:eastAsia="標楷體" w:hAnsi="標楷體"/>
          <w:sz w:val="28"/>
          <w:szCs w:val="28"/>
        </w:rPr>
      </w:pPr>
      <w:r w:rsidRPr="00BB7A87">
        <w:rPr>
          <w:rFonts w:ascii="標楷體" w:eastAsia="標楷體" w:hAnsi="標楷體" w:hint="eastAsia"/>
          <w:sz w:val="28"/>
          <w:szCs w:val="28"/>
        </w:rPr>
        <w:t>本準備金之收支及保管。</w:t>
      </w:r>
    </w:p>
    <w:p w:rsidR="000C3CFE" w:rsidRPr="00BB7A87" w:rsidRDefault="000C3CFE" w:rsidP="00450030">
      <w:pPr>
        <w:numPr>
          <w:ilvl w:val="0"/>
          <w:numId w:val="3"/>
        </w:numPr>
        <w:spacing w:line="500" w:lineRule="exact"/>
        <w:ind w:firstLine="90"/>
        <w:jc w:val="both"/>
        <w:rPr>
          <w:rFonts w:ascii="標楷體" w:eastAsia="標楷體" w:hAnsi="標楷體"/>
          <w:sz w:val="28"/>
          <w:szCs w:val="28"/>
        </w:rPr>
      </w:pPr>
      <w:r w:rsidRPr="00BB7A87">
        <w:rPr>
          <w:rFonts w:ascii="標楷體" w:eastAsia="標楷體" w:hAnsi="標楷體" w:hint="eastAsia"/>
          <w:sz w:val="28"/>
          <w:szCs w:val="28"/>
        </w:rPr>
        <w:t>本準備金運用之審議。</w:t>
      </w:r>
    </w:p>
    <w:p w:rsidR="00BB7A87" w:rsidRDefault="000C3CFE" w:rsidP="00450030">
      <w:pPr>
        <w:numPr>
          <w:ilvl w:val="0"/>
          <w:numId w:val="3"/>
        </w:numPr>
        <w:spacing w:line="500" w:lineRule="exact"/>
        <w:ind w:left="1418" w:hanging="567"/>
        <w:jc w:val="both"/>
        <w:rPr>
          <w:rFonts w:ascii="標楷體" w:eastAsia="標楷體" w:hAnsi="標楷體"/>
          <w:sz w:val="28"/>
          <w:szCs w:val="28"/>
        </w:rPr>
      </w:pPr>
      <w:r w:rsidRPr="00BB7A87">
        <w:rPr>
          <w:rFonts w:ascii="標楷體" w:eastAsia="標楷體" w:hAnsi="標楷體" w:hint="eastAsia"/>
          <w:sz w:val="28"/>
          <w:szCs w:val="28"/>
        </w:rPr>
        <w:t>本準備金動用申請書件、審核條件及作業流程等重要規章之訂定。</w:t>
      </w:r>
    </w:p>
    <w:p w:rsidR="000C3CFE" w:rsidRPr="00BB7A87" w:rsidRDefault="000C3CFE" w:rsidP="00450030">
      <w:pPr>
        <w:numPr>
          <w:ilvl w:val="0"/>
          <w:numId w:val="3"/>
        </w:numPr>
        <w:spacing w:line="500" w:lineRule="exact"/>
        <w:ind w:left="1418" w:hanging="567"/>
        <w:jc w:val="both"/>
        <w:rPr>
          <w:rFonts w:ascii="標楷體" w:eastAsia="標楷體" w:hAnsi="標楷體"/>
          <w:sz w:val="28"/>
          <w:szCs w:val="28"/>
        </w:rPr>
      </w:pPr>
      <w:r w:rsidRPr="00BB7A87">
        <w:rPr>
          <w:rFonts w:ascii="標楷體" w:eastAsia="標楷體" w:hAnsi="標楷體" w:hint="eastAsia"/>
          <w:sz w:val="28"/>
          <w:szCs w:val="28"/>
        </w:rPr>
        <w:t>其他有關事項。</w:t>
      </w:r>
    </w:p>
    <w:p w:rsidR="000C3CFE" w:rsidRPr="00BB7A87" w:rsidRDefault="000C3CFE" w:rsidP="00450030">
      <w:pPr>
        <w:spacing w:line="500" w:lineRule="exact"/>
        <w:jc w:val="both"/>
        <w:rPr>
          <w:rFonts w:ascii="標楷體" w:eastAsia="標楷體" w:hAnsi="標楷體"/>
          <w:sz w:val="28"/>
          <w:szCs w:val="28"/>
        </w:rPr>
      </w:pPr>
      <w:r w:rsidRPr="00BB7A87">
        <w:rPr>
          <w:rFonts w:ascii="標楷體" w:eastAsia="標楷體" w:hAnsi="標楷體" w:hint="eastAsia"/>
          <w:sz w:val="28"/>
          <w:szCs w:val="28"/>
        </w:rPr>
        <w:t>第六條</w:t>
      </w:r>
      <w:r w:rsidRPr="00BB7A87">
        <w:rPr>
          <w:rFonts w:ascii="標楷體" w:eastAsia="標楷體" w:hAnsi="標楷體"/>
          <w:sz w:val="28"/>
          <w:szCs w:val="28"/>
        </w:rPr>
        <w:t xml:space="preserve"> </w:t>
      </w:r>
      <w:r w:rsidR="00BB7A87">
        <w:rPr>
          <w:rFonts w:ascii="標楷體" w:eastAsia="標楷體" w:hAnsi="標楷體" w:hint="eastAsia"/>
          <w:sz w:val="28"/>
          <w:szCs w:val="28"/>
        </w:rPr>
        <w:t xml:space="preserve">  </w:t>
      </w:r>
      <w:r w:rsidRPr="00BB7A87">
        <w:rPr>
          <w:rFonts w:ascii="標楷體" w:eastAsia="標楷體" w:hAnsi="標楷體"/>
          <w:sz w:val="28"/>
          <w:szCs w:val="28"/>
        </w:rPr>
        <w:t xml:space="preserve"> </w:t>
      </w:r>
      <w:r w:rsidRPr="00BB7A87">
        <w:rPr>
          <w:rFonts w:ascii="標楷體" w:eastAsia="標楷體" w:hAnsi="標楷體" w:hint="eastAsia"/>
          <w:sz w:val="28"/>
          <w:szCs w:val="28"/>
        </w:rPr>
        <w:t>本準備金年度決算如有賸餘，應留存專戶循環運用。</w:t>
      </w:r>
    </w:p>
    <w:p w:rsidR="000C3CFE" w:rsidRPr="00BB7A87" w:rsidRDefault="000C3CFE" w:rsidP="00450030">
      <w:pPr>
        <w:spacing w:line="500" w:lineRule="exact"/>
        <w:jc w:val="both"/>
        <w:rPr>
          <w:rFonts w:ascii="標楷體" w:eastAsia="標楷體" w:hAnsi="標楷體"/>
          <w:sz w:val="28"/>
          <w:szCs w:val="28"/>
        </w:rPr>
      </w:pPr>
      <w:r w:rsidRPr="00BB7A87">
        <w:rPr>
          <w:rFonts w:ascii="標楷體" w:eastAsia="標楷體" w:hAnsi="標楷體" w:hint="eastAsia"/>
          <w:sz w:val="28"/>
          <w:szCs w:val="28"/>
        </w:rPr>
        <w:t>第七條</w:t>
      </w:r>
      <w:r w:rsidRPr="00BB7A87">
        <w:rPr>
          <w:rFonts w:ascii="標楷體" w:eastAsia="標楷體" w:hAnsi="標楷體"/>
          <w:sz w:val="28"/>
          <w:szCs w:val="28"/>
        </w:rPr>
        <w:t xml:space="preserve"> </w:t>
      </w:r>
      <w:r w:rsidR="00BB7A87">
        <w:rPr>
          <w:rFonts w:ascii="標楷體" w:eastAsia="標楷體" w:hAnsi="標楷體" w:hint="eastAsia"/>
          <w:sz w:val="28"/>
          <w:szCs w:val="28"/>
        </w:rPr>
        <w:t xml:space="preserve">  </w:t>
      </w:r>
      <w:r w:rsidRPr="00BB7A87">
        <w:rPr>
          <w:rFonts w:ascii="標楷體" w:eastAsia="標楷體" w:hAnsi="標楷體"/>
          <w:sz w:val="28"/>
          <w:szCs w:val="28"/>
        </w:rPr>
        <w:t xml:space="preserve"> </w:t>
      </w:r>
      <w:r w:rsidRPr="00BB7A87">
        <w:rPr>
          <w:rFonts w:ascii="標楷體" w:eastAsia="標楷體" w:hAnsi="標楷體" w:hint="eastAsia"/>
          <w:sz w:val="28"/>
          <w:szCs w:val="28"/>
        </w:rPr>
        <w:t>本辦法自中華民國一百零三年七月一日施行。</w:t>
      </w:r>
    </w:p>
    <w:sectPr w:rsidR="000C3CFE" w:rsidRPr="00BB7A8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2C" w:rsidRDefault="00F30F2C" w:rsidP="000C3CFE">
      <w:r>
        <w:separator/>
      </w:r>
    </w:p>
  </w:endnote>
  <w:endnote w:type="continuationSeparator" w:id="0">
    <w:p w:rsidR="00F30F2C" w:rsidRDefault="00F30F2C" w:rsidP="000C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00445"/>
      <w:docPartObj>
        <w:docPartGallery w:val="Page Numbers (Bottom of Page)"/>
        <w:docPartUnique/>
      </w:docPartObj>
    </w:sdtPr>
    <w:sdtEndPr/>
    <w:sdtContent>
      <w:p w:rsidR="00825ADD" w:rsidRDefault="00825ADD">
        <w:pPr>
          <w:pStyle w:val="a5"/>
          <w:jc w:val="center"/>
        </w:pPr>
        <w:r>
          <w:fldChar w:fldCharType="begin"/>
        </w:r>
        <w:r>
          <w:instrText>PAGE   \* MERGEFORMAT</w:instrText>
        </w:r>
        <w:r>
          <w:fldChar w:fldCharType="separate"/>
        </w:r>
        <w:r w:rsidR="00D13BD6" w:rsidRPr="00D13BD6">
          <w:rPr>
            <w:noProof/>
            <w:lang w:val="zh-TW"/>
          </w:rPr>
          <w:t>1</w:t>
        </w:r>
        <w:r>
          <w:fldChar w:fldCharType="end"/>
        </w:r>
      </w:p>
    </w:sdtContent>
  </w:sdt>
  <w:p w:rsidR="00825ADD" w:rsidRDefault="00825A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2C" w:rsidRDefault="00F30F2C" w:rsidP="000C3CFE">
      <w:r>
        <w:separator/>
      </w:r>
    </w:p>
  </w:footnote>
  <w:footnote w:type="continuationSeparator" w:id="0">
    <w:p w:rsidR="00F30F2C" w:rsidRDefault="00F30F2C" w:rsidP="000C3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710"/>
    <w:multiLevelType w:val="hybridMultilevel"/>
    <w:tmpl w:val="E2E4FB56"/>
    <w:lvl w:ilvl="0" w:tplc="DFEC2642">
      <w:start w:val="1"/>
      <w:numFmt w:val="taiwaneseCountingThousand"/>
      <w:lvlText w:val="%1、"/>
      <w:lvlJc w:val="left"/>
      <w:pPr>
        <w:ind w:left="761" w:hanging="480"/>
      </w:pPr>
      <w:rPr>
        <w:rFonts w:cs="Times New Roman"/>
        <w:lang w:val="en-US"/>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1">
    <w:nsid w:val="67172FF2"/>
    <w:multiLevelType w:val="hybridMultilevel"/>
    <w:tmpl w:val="F15276DA"/>
    <w:lvl w:ilvl="0" w:tplc="E8A80BA8">
      <w:start w:val="1"/>
      <w:numFmt w:val="taiwaneseCountingThousand"/>
      <w:lvlText w:val="%1、"/>
      <w:lvlJc w:val="left"/>
      <w:pPr>
        <w:ind w:left="570" w:hanging="450"/>
      </w:pPr>
      <w:rPr>
        <w:rFonts w:cs="Times New Roman" w:hint="default"/>
        <w:lang w:val="en-US"/>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nsid w:val="7A6079C1"/>
    <w:multiLevelType w:val="hybridMultilevel"/>
    <w:tmpl w:val="A306BB56"/>
    <w:lvl w:ilvl="0" w:tplc="4628C470">
      <w:start w:val="1"/>
      <w:numFmt w:val="taiwaneseCountingThousand"/>
      <w:lvlText w:val="%1、"/>
      <w:lvlJc w:val="left"/>
      <w:pPr>
        <w:ind w:left="644" w:hanging="360"/>
      </w:pPr>
      <w:rPr>
        <w:rFonts w:hint="default"/>
        <w:lang w:val="en-US"/>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B1"/>
    <w:rsid w:val="00087BF5"/>
    <w:rsid w:val="000C3CFE"/>
    <w:rsid w:val="000F2F9A"/>
    <w:rsid w:val="002A2F0A"/>
    <w:rsid w:val="002B0E4A"/>
    <w:rsid w:val="003729F3"/>
    <w:rsid w:val="004355DB"/>
    <w:rsid w:val="00450030"/>
    <w:rsid w:val="004D44A6"/>
    <w:rsid w:val="0054734C"/>
    <w:rsid w:val="00640FDC"/>
    <w:rsid w:val="0082598C"/>
    <w:rsid w:val="00825ADD"/>
    <w:rsid w:val="00A775C7"/>
    <w:rsid w:val="00BB7A87"/>
    <w:rsid w:val="00C74002"/>
    <w:rsid w:val="00D13BD6"/>
    <w:rsid w:val="00E76EB1"/>
    <w:rsid w:val="00EA34F2"/>
    <w:rsid w:val="00EC1264"/>
    <w:rsid w:val="00EF3325"/>
    <w:rsid w:val="00F30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CFE"/>
    <w:pPr>
      <w:tabs>
        <w:tab w:val="center" w:pos="4153"/>
        <w:tab w:val="right" w:pos="8306"/>
      </w:tabs>
      <w:snapToGrid w:val="0"/>
    </w:pPr>
    <w:rPr>
      <w:sz w:val="20"/>
      <w:szCs w:val="20"/>
    </w:rPr>
  </w:style>
  <w:style w:type="character" w:customStyle="1" w:styleId="a4">
    <w:name w:val="頁首 字元"/>
    <w:basedOn w:val="a0"/>
    <w:link w:val="a3"/>
    <w:uiPriority w:val="99"/>
    <w:rsid w:val="000C3CFE"/>
    <w:rPr>
      <w:sz w:val="20"/>
      <w:szCs w:val="20"/>
    </w:rPr>
  </w:style>
  <w:style w:type="paragraph" w:styleId="a5">
    <w:name w:val="footer"/>
    <w:basedOn w:val="a"/>
    <w:link w:val="a6"/>
    <w:uiPriority w:val="99"/>
    <w:unhideWhenUsed/>
    <w:rsid w:val="000C3CFE"/>
    <w:pPr>
      <w:tabs>
        <w:tab w:val="center" w:pos="4153"/>
        <w:tab w:val="right" w:pos="8306"/>
      </w:tabs>
      <w:snapToGrid w:val="0"/>
    </w:pPr>
    <w:rPr>
      <w:sz w:val="20"/>
      <w:szCs w:val="20"/>
    </w:rPr>
  </w:style>
  <w:style w:type="character" w:customStyle="1" w:styleId="a6">
    <w:name w:val="頁尾 字元"/>
    <w:basedOn w:val="a0"/>
    <w:link w:val="a5"/>
    <w:uiPriority w:val="99"/>
    <w:rsid w:val="000C3CFE"/>
    <w:rPr>
      <w:sz w:val="20"/>
      <w:szCs w:val="20"/>
    </w:rPr>
  </w:style>
  <w:style w:type="paragraph" w:styleId="a7">
    <w:name w:val="List Paragraph"/>
    <w:basedOn w:val="a"/>
    <w:uiPriority w:val="34"/>
    <w:qFormat/>
    <w:rsid w:val="000C3CFE"/>
    <w:pPr>
      <w:ind w:leftChars="200" w:left="480"/>
    </w:pPr>
  </w:style>
  <w:style w:type="paragraph" w:styleId="a8">
    <w:name w:val="Balloon Text"/>
    <w:basedOn w:val="a"/>
    <w:link w:val="a9"/>
    <w:uiPriority w:val="99"/>
    <w:semiHidden/>
    <w:unhideWhenUsed/>
    <w:rsid w:val="00825A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25A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CFE"/>
    <w:pPr>
      <w:tabs>
        <w:tab w:val="center" w:pos="4153"/>
        <w:tab w:val="right" w:pos="8306"/>
      </w:tabs>
      <w:snapToGrid w:val="0"/>
    </w:pPr>
    <w:rPr>
      <w:sz w:val="20"/>
      <w:szCs w:val="20"/>
    </w:rPr>
  </w:style>
  <w:style w:type="character" w:customStyle="1" w:styleId="a4">
    <w:name w:val="頁首 字元"/>
    <w:basedOn w:val="a0"/>
    <w:link w:val="a3"/>
    <w:uiPriority w:val="99"/>
    <w:rsid w:val="000C3CFE"/>
    <w:rPr>
      <w:sz w:val="20"/>
      <w:szCs w:val="20"/>
    </w:rPr>
  </w:style>
  <w:style w:type="paragraph" w:styleId="a5">
    <w:name w:val="footer"/>
    <w:basedOn w:val="a"/>
    <w:link w:val="a6"/>
    <w:uiPriority w:val="99"/>
    <w:unhideWhenUsed/>
    <w:rsid w:val="000C3CFE"/>
    <w:pPr>
      <w:tabs>
        <w:tab w:val="center" w:pos="4153"/>
        <w:tab w:val="right" w:pos="8306"/>
      </w:tabs>
      <w:snapToGrid w:val="0"/>
    </w:pPr>
    <w:rPr>
      <w:sz w:val="20"/>
      <w:szCs w:val="20"/>
    </w:rPr>
  </w:style>
  <w:style w:type="character" w:customStyle="1" w:styleId="a6">
    <w:name w:val="頁尾 字元"/>
    <w:basedOn w:val="a0"/>
    <w:link w:val="a5"/>
    <w:uiPriority w:val="99"/>
    <w:rsid w:val="000C3CFE"/>
    <w:rPr>
      <w:sz w:val="20"/>
      <w:szCs w:val="20"/>
    </w:rPr>
  </w:style>
  <w:style w:type="paragraph" w:styleId="a7">
    <w:name w:val="List Paragraph"/>
    <w:basedOn w:val="a"/>
    <w:uiPriority w:val="34"/>
    <w:qFormat/>
    <w:rsid w:val="000C3CFE"/>
    <w:pPr>
      <w:ind w:leftChars="200" w:left="480"/>
    </w:pPr>
  </w:style>
  <w:style w:type="paragraph" w:styleId="a8">
    <w:name w:val="Balloon Text"/>
    <w:basedOn w:val="a"/>
    <w:link w:val="a9"/>
    <w:uiPriority w:val="99"/>
    <w:semiHidden/>
    <w:unhideWhenUsed/>
    <w:rsid w:val="00825A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25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張&amp;#21894;韋</dc:creator>
  <cp:lastModifiedBy>何淑月</cp:lastModifiedBy>
  <cp:revision>2</cp:revision>
  <cp:lastPrinted>2014-07-25T11:46:00Z</cp:lastPrinted>
  <dcterms:created xsi:type="dcterms:W3CDTF">2014-08-08T08:05:00Z</dcterms:created>
  <dcterms:modified xsi:type="dcterms:W3CDTF">2014-08-08T08:05:00Z</dcterms:modified>
</cp:coreProperties>
</file>