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C52" w:rsidRPr="00EF2AEE" w:rsidRDefault="00EF2AEE" w:rsidP="00EF2AEE">
      <w:pPr>
        <w:jc w:val="center"/>
        <w:rPr>
          <w:rFonts w:ascii="標楷體" w:eastAsia="標楷體" w:hAnsi="標楷體"/>
          <w:sz w:val="28"/>
          <w:szCs w:val="28"/>
        </w:rPr>
      </w:pPr>
      <w:r w:rsidRPr="00EF2AEE">
        <w:rPr>
          <w:rFonts w:ascii="標楷體" w:eastAsia="標楷體" w:hAnsi="標楷體" w:hint="eastAsia"/>
          <w:sz w:val="28"/>
          <w:szCs w:val="28"/>
        </w:rPr>
        <w:t>保險業國外投資額度申請表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3"/>
        <w:gridCol w:w="5916"/>
        <w:gridCol w:w="296"/>
        <w:gridCol w:w="296"/>
        <w:gridCol w:w="332"/>
        <w:gridCol w:w="1123"/>
      </w:tblGrid>
      <w:tr w:rsidR="00EF2AEE" w:rsidRPr="00C015D1" w:rsidTr="003A2660">
        <w:trPr>
          <w:trHeight w:val="520"/>
          <w:jc w:val="center"/>
        </w:trPr>
        <w:tc>
          <w:tcPr>
            <w:tcW w:w="0" w:type="auto"/>
            <w:gridSpan w:val="6"/>
          </w:tcPr>
          <w:p w:rsidR="00EF2AEE" w:rsidRPr="00C015D1" w:rsidRDefault="00EF2AEE" w:rsidP="003A2660">
            <w:pPr>
              <w:snapToGrid w:val="0"/>
              <w:jc w:val="both"/>
              <w:rPr>
                <w:rFonts w:eastAsia="標楷體"/>
              </w:rPr>
            </w:pPr>
            <w:r w:rsidRPr="00C015D1">
              <w:rPr>
                <w:rFonts w:eastAsia="標楷體"/>
                <w:sz w:val="28"/>
                <w:szCs w:val="28"/>
                <w:u w:val="single"/>
              </w:rPr>
              <w:t xml:space="preserve">　　</w:t>
            </w:r>
            <w:r w:rsidRPr="00C015D1">
              <w:rPr>
                <w:rFonts w:eastAsia="標楷體"/>
                <w:sz w:val="28"/>
                <w:szCs w:val="28"/>
                <w:u w:val="single"/>
              </w:rPr>
              <w:t xml:space="preserve">   </w:t>
            </w:r>
            <w:r w:rsidRPr="00C015D1">
              <w:rPr>
                <w:rFonts w:eastAsia="標楷體"/>
              </w:rPr>
              <w:t>保險股份有限公司</w:t>
            </w:r>
            <w:r w:rsidRPr="00C015D1">
              <w:rPr>
                <w:rFonts w:eastAsia="標楷體"/>
              </w:rPr>
              <w:t>(</w:t>
            </w:r>
            <w:r w:rsidRPr="00C015D1">
              <w:rPr>
                <w:rFonts w:eastAsia="標楷體"/>
              </w:rPr>
              <w:t>台灣分公司</w:t>
            </w:r>
            <w:r w:rsidRPr="00C015D1">
              <w:rPr>
                <w:rFonts w:eastAsia="標楷體"/>
              </w:rPr>
              <w:t>)</w:t>
            </w:r>
            <w:r w:rsidRPr="00C015D1">
              <w:rPr>
                <w:rFonts w:eastAsia="標楷體"/>
              </w:rPr>
              <w:t>擬申請提高國外投資額度比例至</w:t>
            </w:r>
            <w:r w:rsidRPr="00C015D1">
              <w:rPr>
                <w:rFonts w:eastAsia="標楷體"/>
              </w:rPr>
              <w:t>_____%</w:t>
            </w:r>
          </w:p>
        </w:tc>
      </w:tr>
      <w:tr w:rsidR="00EF2AEE" w:rsidRPr="00C015D1" w:rsidTr="003A2660">
        <w:trPr>
          <w:trHeight w:val="1261"/>
          <w:jc w:val="center"/>
        </w:trPr>
        <w:tc>
          <w:tcPr>
            <w:tcW w:w="0" w:type="auto"/>
          </w:tcPr>
          <w:p w:rsidR="00EF2AEE" w:rsidRPr="00C015D1" w:rsidRDefault="00EF2AEE" w:rsidP="003A2660">
            <w:pPr>
              <w:snapToGrid w:val="0"/>
              <w:spacing w:line="260" w:lineRule="exact"/>
              <w:jc w:val="center"/>
              <w:rPr>
                <w:rFonts w:eastAsia="標楷體"/>
              </w:rPr>
            </w:pPr>
          </w:p>
          <w:p w:rsidR="00EF2AEE" w:rsidRPr="00C015D1" w:rsidRDefault="00EF2AEE" w:rsidP="003A2660">
            <w:pPr>
              <w:snapToGrid w:val="0"/>
              <w:spacing w:line="260" w:lineRule="exact"/>
              <w:jc w:val="center"/>
              <w:rPr>
                <w:rFonts w:eastAsia="標楷體"/>
              </w:rPr>
            </w:pPr>
            <w:r w:rsidRPr="00C015D1">
              <w:rPr>
                <w:rFonts w:eastAsia="標楷體"/>
              </w:rPr>
              <w:t>項</w:t>
            </w:r>
          </w:p>
          <w:p w:rsidR="00EF2AEE" w:rsidRPr="00C015D1" w:rsidRDefault="00EF2AEE" w:rsidP="003A2660">
            <w:pPr>
              <w:snapToGrid w:val="0"/>
              <w:spacing w:line="260" w:lineRule="exact"/>
              <w:jc w:val="center"/>
              <w:rPr>
                <w:rFonts w:eastAsia="標楷體"/>
              </w:rPr>
            </w:pPr>
            <w:r w:rsidRPr="00C015D1">
              <w:rPr>
                <w:rFonts w:eastAsia="標楷體"/>
              </w:rPr>
              <w:t>次</w:t>
            </w:r>
          </w:p>
        </w:tc>
        <w:tc>
          <w:tcPr>
            <w:tcW w:w="0" w:type="auto"/>
            <w:vAlign w:val="center"/>
          </w:tcPr>
          <w:p w:rsidR="00EF2AEE" w:rsidRPr="00C015D1" w:rsidRDefault="00EF2AEE" w:rsidP="003A2660">
            <w:pPr>
              <w:snapToGrid w:val="0"/>
              <w:spacing w:line="260" w:lineRule="exact"/>
              <w:jc w:val="distribute"/>
              <w:rPr>
                <w:rFonts w:eastAsia="標楷體"/>
              </w:rPr>
            </w:pPr>
            <w:r w:rsidRPr="00C015D1">
              <w:rPr>
                <w:rFonts w:eastAsia="標楷體"/>
              </w:rPr>
              <w:t>評估內容</w:t>
            </w:r>
          </w:p>
        </w:tc>
        <w:tc>
          <w:tcPr>
            <w:tcW w:w="0" w:type="auto"/>
          </w:tcPr>
          <w:p w:rsidR="00EF2AEE" w:rsidRPr="00C015D1" w:rsidRDefault="00EF2AEE" w:rsidP="003A2660">
            <w:pPr>
              <w:snapToGrid w:val="0"/>
              <w:spacing w:line="260" w:lineRule="exact"/>
              <w:jc w:val="center"/>
              <w:rPr>
                <w:rFonts w:eastAsia="標楷體"/>
              </w:rPr>
            </w:pPr>
            <w:r w:rsidRPr="00C015D1">
              <w:rPr>
                <w:rFonts w:eastAsia="標楷體"/>
              </w:rPr>
              <w:t>附</w:t>
            </w:r>
          </w:p>
          <w:p w:rsidR="00EF2AEE" w:rsidRPr="00C015D1" w:rsidRDefault="00EF2AEE" w:rsidP="003A2660">
            <w:pPr>
              <w:snapToGrid w:val="0"/>
              <w:spacing w:line="260" w:lineRule="exact"/>
              <w:jc w:val="center"/>
              <w:rPr>
                <w:rFonts w:eastAsia="標楷體"/>
              </w:rPr>
            </w:pPr>
            <w:r w:rsidRPr="00C015D1">
              <w:rPr>
                <w:rFonts w:eastAsia="標楷體"/>
              </w:rPr>
              <w:t>件</w:t>
            </w:r>
          </w:p>
          <w:p w:rsidR="00EF2AEE" w:rsidRPr="00C015D1" w:rsidRDefault="00EF2AEE" w:rsidP="003A2660">
            <w:pPr>
              <w:snapToGrid w:val="0"/>
              <w:spacing w:line="260" w:lineRule="exact"/>
              <w:jc w:val="center"/>
              <w:rPr>
                <w:rFonts w:eastAsia="標楷體"/>
              </w:rPr>
            </w:pPr>
            <w:r w:rsidRPr="00C015D1">
              <w:rPr>
                <w:rFonts w:eastAsia="標楷體"/>
              </w:rPr>
              <w:t>索</w:t>
            </w:r>
          </w:p>
          <w:p w:rsidR="00EF2AEE" w:rsidRPr="00C015D1" w:rsidRDefault="00EF2AEE" w:rsidP="003A2660">
            <w:pPr>
              <w:snapToGrid w:val="0"/>
              <w:spacing w:line="260" w:lineRule="exact"/>
              <w:jc w:val="center"/>
              <w:rPr>
                <w:rFonts w:eastAsia="標楷體"/>
              </w:rPr>
            </w:pPr>
            <w:r w:rsidRPr="00C015D1">
              <w:rPr>
                <w:rFonts w:eastAsia="標楷體"/>
              </w:rPr>
              <w:t>引</w:t>
            </w:r>
          </w:p>
        </w:tc>
        <w:tc>
          <w:tcPr>
            <w:tcW w:w="0" w:type="auto"/>
          </w:tcPr>
          <w:p w:rsidR="00EF2AEE" w:rsidRPr="00C015D1" w:rsidRDefault="00EF2AEE" w:rsidP="003A2660">
            <w:pPr>
              <w:snapToGrid w:val="0"/>
              <w:spacing w:line="260" w:lineRule="exact"/>
              <w:jc w:val="center"/>
              <w:rPr>
                <w:rFonts w:eastAsia="標楷體"/>
              </w:rPr>
            </w:pPr>
            <w:r w:rsidRPr="00C015D1">
              <w:rPr>
                <w:rFonts w:eastAsia="標楷體"/>
              </w:rPr>
              <w:t>符</w:t>
            </w:r>
          </w:p>
          <w:p w:rsidR="00EF2AEE" w:rsidRPr="00C015D1" w:rsidRDefault="00EF2AEE" w:rsidP="003A2660">
            <w:pPr>
              <w:snapToGrid w:val="0"/>
              <w:spacing w:line="260" w:lineRule="exact"/>
              <w:jc w:val="center"/>
              <w:rPr>
                <w:rFonts w:eastAsia="標楷體"/>
              </w:rPr>
            </w:pPr>
          </w:p>
          <w:p w:rsidR="00EF2AEE" w:rsidRPr="00C015D1" w:rsidRDefault="00EF2AEE" w:rsidP="003A2660">
            <w:pPr>
              <w:snapToGrid w:val="0"/>
              <w:spacing w:line="260" w:lineRule="exact"/>
              <w:jc w:val="center"/>
              <w:rPr>
                <w:rFonts w:eastAsia="標楷體"/>
              </w:rPr>
            </w:pPr>
            <w:r w:rsidRPr="00C015D1">
              <w:rPr>
                <w:rFonts w:eastAsia="標楷體"/>
              </w:rPr>
              <w:t>合</w:t>
            </w:r>
          </w:p>
          <w:p w:rsidR="00EF2AEE" w:rsidRPr="00C015D1" w:rsidRDefault="00EF2AEE" w:rsidP="003A2660">
            <w:pPr>
              <w:snapToGrid w:val="0"/>
              <w:spacing w:line="360" w:lineRule="exact"/>
              <w:jc w:val="center"/>
              <w:rPr>
                <w:rFonts w:eastAsia="標楷體"/>
              </w:rPr>
            </w:pPr>
          </w:p>
        </w:tc>
        <w:tc>
          <w:tcPr>
            <w:tcW w:w="0" w:type="auto"/>
          </w:tcPr>
          <w:p w:rsidR="00EF2AEE" w:rsidRPr="00C015D1" w:rsidRDefault="00EF2AEE" w:rsidP="003A2660">
            <w:pPr>
              <w:snapToGrid w:val="0"/>
              <w:spacing w:line="260" w:lineRule="exact"/>
              <w:jc w:val="center"/>
              <w:rPr>
                <w:rFonts w:eastAsia="標楷體"/>
              </w:rPr>
            </w:pPr>
            <w:r w:rsidRPr="00C015D1">
              <w:rPr>
                <w:rFonts w:eastAsia="標楷體"/>
              </w:rPr>
              <w:t>不</w:t>
            </w:r>
          </w:p>
          <w:p w:rsidR="00EF2AEE" w:rsidRPr="00C015D1" w:rsidRDefault="00EF2AEE" w:rsidP="003A2660">
            <w:pPr>
              <w:snapToGrid w:val="0"/>
              <w:spacing w:line="360" w:lineRule="exact"/>
              <w:jc w:val="center"/>
              <w:rPr>
                <w:rFonts w:eastAsia="標楷體"/>
              </w:rPr>
            </w:pPr>
            <w:r w:rsidRPr="00C015D1">
              <w:rPr>
                <w:rFonts w:eastAsia="標楷體"/>
              </w:rPr>
              <w:t>符合</w:t>
            </w:r>
          </w:p>
          <w:p w:rsidR="00EF2AEE" w:rsidRPr="00C015D1" w:rsidRDefault="00EF2AEE" w:rsidP="003A2660">
            <w:pPr>
              <w:snapToGrid w:val="0"/>
              <w:spacing w:line="360" w:lineRule="exact"/>
              <w:jc w:val="center"/>
              <w:rPr>
                <w:rFonts w:eastAsia="標楷體"/>
              </w:rPr>
            </w:pPr>
          </w:p>
        </w:tc>
        <w:tc>
          <w:tcPr>
            <w:tcW w:w="0" w:type="auto"/>
          </w:tcPr>
          <w:p w:rsidR="00EF2AEE" w:rsidRPr="00C015D1" w:rsidRDefault="00EF2AEE" w:rsidP="003A2660">
            <w:pPr>
              <w:snapToGrid w:val="0"/>
              <w:spacing w:line="360" w:lineRule="exact"/>
              <w:jc w:val="both"/>
              <w:rPr>
                <w:rFonts w:eastAsia="標楷體"/>
              </w:rPr>
            </w:pPr>
            <w:r w:rsidRPr="00C015D1">
              <w:rPr>
                <w:rFonts w:eastAsia="標楷體"/>
              </w:rPr>
              <w:t>符合者得適用提高額度比例</w:t>
            </w:r>
          </w:p>
        </w:tc>
      </w:tr>
      <w:tr w:rsidR="00EF2AEE" w:rsidRPr="00C015D1" w:rsidTr="003A2660">
        <w:trPr>
          <w:trHeight w:val="556"/>
          <w:jc w:val="center"/>
        </w:trPr>
        <w:tc>
          <w:tcPr>
            <w:tcW w:w="0" w:type="auto"/>
          </w:tcPr>
          <w:p w:rsidR="00EF2AEE" w:rsidRPr="00C015D1" w:rsidRDefault="00EF2AEE" w:rsidP="003A2660">
            <w:pPr>
              <w:snapToGrid w:val="0"/>
              <w:jc w:val="center"/>
              <w:rPr>
                <w:rFonts w:eastAsia="標楷體"/>
              </w:rPr>
            </w:pPr>
            <w:proofErr w:type="gramStart"/>
            <w:r w:rsidRPr="00C015D1">
              <w:rPr>
                <w:rFonts w:eastAsia="標楷體"/>
              </w:rPr>
              <w:t>一</w:t>
            </w:r>
            <w:proofErr w:type="gramEnd"/>
          </w:p>
        </w:tc>
        <w:tc>
          <w:tcPr>
            <w:tcW w:w="0" w:type="auto"/>
          </w:tcPr>
          <w:p w:rsidR="00EF2AEE" w:rsidRPr="00C015D1" w:rsidRDefault="00EF2AEE" w:rsidP="003A2660">
            <w:pPr>
              <w:snapToGrid w:val="0"/>
              <w:jc w:val="both"/>
              <w:rPr>
                <w:rFonts w:eastAsia="標楷體"/>
              </w:rPr>
            </w:pPr>
            <w:r w:rsidRPr="00C015D1">
              <w:rPr>
                <w:rFonts w:eastAsia="標楷體"/>
              </w:rPr>
              <w:t>金融監督管理委員會</w:t>
            </w:r>
            <w:r w:rsidRPr="00C015D1">
              <w:rPr>
                <w:rFonts w:eastAsia="標楷體"/>
                <w:u w:val="single"/>
              </w:rPr>
              <w:t xml:space="preserve">　　</w:t>
            </w:r>
            <w:r w:rsidRPr="00C015D1">
              <w:rPr>
                <w:rFonts w:eastAsia="標楷體"/>
                <w:u w:val="single"/>
              </w:rPr>
              <w:t xml:space="preserve"> </w:t>
            </w:r>
            <w:r w:rsidRPr="00C015D1">
              <w:rPr>
                <w:rFonts w:eastAsia="標楷體"/>
              </w:rPr>
              <w:t>年</w:t>
            </w:r>
            <w:r w:rsidRPr="00C015D1">
              <w:rPr>
                <w:rFonts w:eastAsia="標楷體"/>
                <w:u w:val="single"/>
              </w:rPr>
              <w:t xml:space="preserve">　　</w:t>
            </w:r>
            <w:r w:rsidRPr="00C015D1">
              <w:rPr>
                <w:rFonts w:eastAsia="標楷體"/>
              </w:rPr>
              <w:t>月</w:t>
            </w:r>
            <w:r w:rsidRPr="00C015D1">
              <w:rPr>
                <w:rFonts w:eastAsia="標楷體"/>
                <w:u w:val="single"/>
              </w:rPr>
              <w:t xml:space="preserve">　　</w:t>
            </w:r>
            <w:r w:rsidRPr="00C015D1">
              <w:rPr>
                <w:rFonts w:eastAsia="標楷體"/>
                <w:u w:val="single"/>
              </w:rPr>
              <w:t xml:space="preserve"> </w:t>
            </w:r>
            <w:r w:rsidRPr="00C015D1">
              <w:rPr>
                <w:rFonts w:eastAsia="標楷體"/>
              </w:rPr>
              <w:t>日金管</w:t>
            </w:r>
            <w:r w:rsidRPr="00C015D1">
              <w:rPr>
                <w:rFonts w:eastAsia="標楷體"/>
              </w:rPr>
              <w:t>____</w:t>
            </w:r>
            <w:r w:rsidRPr="00C015D1">
              <w:rPr>
                <w:rFonts w:eastAsia="標楷體"/>
              </w:rPr>
              <w:t>字第</w:t>
            </w:r>
            <w:r w:rsidRPr="00C015D1">
              <w:rPr>
                <w:rFonts w:eastAsia="標楷體"/>
                <w:u w:val="single"/>
              </w:rPr>
              <w:t xml:space="preserve">　　　　</w:t>
            </w:r>
            <w:r w:rsidRPr="00C015D1">
              <w:rPr>
                <w:rFonts w:eastAsia="標楷體"/>
                <w:u w:val="single"/>
              </w:rPr>
              <w:t xml:space="preserve">     </w:t>
            </w:r>
            <w:r w:rsidRPr="00C015D1">
              <w:rPr>
                <w:rFonts w:eastAsia="標楷體"/>
              </w:rPr>
              <w:t>__________</w:t>
            </w:r>
            <w:proofErr w:type="gramStart"/>
            <w:r w:rsidRPr="00C015D1">
              <w:rPr>
                <w:rFonts w:eastAsia="標楷體"/>
              </w:rPr>
              <w:t>號函已核准</w:t>
            </w:r>
            <w:proofErr w:type="gramEnd"/>
            <w:r w:rsidRPr="00C015D1">
              <w:rPr>
                <w:rFonts w:eastAsia="標楷體"/>
              </w:rPr>
              <w:t>本公司國外投資額度比例至</w:t>
            </w:r>
            <w:r w:rsidRPr="00611C47">
              <w:rPr>
                <w:rFonts w:eastAsia="標楷體" w:hint="eastAsia"/>
                <w:u w:val="single"/>
              </w:rPr>
              <w:t xml:space="preserve">     </w:t>
            </w:r>
            <w:r w:rsidRPr="00C015D1">
              <w:rPr>
                <w:rFonts w:eastAsia="標楷體"/>
              </w:rPr>
              <w:t>%</w:t>
            </w:r>
            <w:r w:rsidRPr="00C015D1">
              <w:rPr>
                <w:rFonts w:eastAsia="標楷體"/>
              </w:rPr>
              <w:t>。</w:t>
            </w:r>
          </w:p>
        </w:tc>
        <w:tc>
          <w:tcPr>
            <w:tcW w:w="0" w:type="auto"/>
          </w:tcPr>
          <w:p w:rsidR="00EF2AEE" w:rsidRPr="00C015D1" w:rsidRDefault="00EF2AEE" w:rsidP="003A2660">
            <w:pPr>
              <w:snapToGrid w:val="0"/>
              <w:spacing w:line="260" w:lineRule="exact"/>
              <w:jc w:val="center"/>
              <w:rPr>
                <w:rFonts w:eastAsia="標楷體"/>
              </w:rPr>
            </w:pPr>
          </w:p>
        </w:tc>
        <w:tc>
          <w:tcPr>
            <w:tcW w:w="0" w:type="auto"/>
          </w:tcPr>
          <w:p w:rsidR="00EF2AEE" w:rsidRPr="00C015D1" w:rsidRDefault="00EF2AEE" w:rsidP="003A2660">
            <w:pPr>
              <w:snapToGrid w:val="0"/>
              <w:spacing w:line="260" w:lineRule="exact"/>
              <w:jc w:val="center"/>
              <w:rPr>
                <w:rFonts w:eastAsia="標楷體"/>
              </w:rPr>
            </w:pPr>
          </w:p>
        </w:tc>
        <w:tc>
          <w:tcPr>
            <w:tcW w:w="0" w:type="auto"/>
          </w:tcPr>
          <w:p w:rsidR="00EF2AEE" w:rsidRPr="00C015D1" w:rsidRDefault="00EF2AEE" w:rsidP="003A2660">
            <w:pPr>
              <w:snapToGrid w:val="0"/>
              <w:spacing w:line="260" w:lineRule="exact"/>
              <w:jc w:val="center"/>
              <w:rPr>
                <w:rFonts w:eastAsia="標楷體"/>
              </w:rPr>
            </w:pPr>
          </w:p>
        </w:tc>
        <w:tc>
          <w:tcPr>
            <w:tcW w:w="0" w:type="auto"/>
            <w:vMerge w:val="restart"/>
            <w:tcBorders>
              <w:tl2br w:val="single" w:sz="4" w:space="0" w:color="auto"/>
            </w:tcBorders>
          </w:tcPr>
          <w:p w:rsidR="00EF2AEE" w:rsidRPr="00C015D1" w:rsidRDefault="00EF2AEE" w:rsidP="003A2660">
            <w:pPr>
              <w:snapToGrid w:val="0"/>
              <w:spacing w:line="360" w:lineRule="exact"/>
              <w:jc w:val="both"/>
              <w:rPr>
                <w:rFonts w:eastAsia="標楷體"/>
              </w:rPr>
            </w:pPr>
          </w:p>
        </w:tc>
        <w:bookmarkStart w:id="0" w:name="_GoBack"/>
        <w:bookmarkEnd w:id="0"/>
      </w:tr>
      <w:tr w:rsidR="00EF2AEE" w:rsidRPr="00C015D1" w:rsidTr="003A2660">
        <w:trPr>
          <w:trHeight w:val="1261"/>
          <w:jc w:val="center"/>
        </w:trPr>
        <w:tc>
          <w:tcPr>
            <w:tcW w:w="0" w:type="auto"/>
          </w:tcPr>
          <w:p w:rsidR="00EF2AEE" w:rsidRPr="00C015D1" w:rsidRDefault="00EF2AEE" w:rsidP="003A2660">
            <w:pPr>
              <w:snapToGrid w:val="0"/>
              <w:jc w:val="center"/>
              <w:rPr>
                <w:rFonts w:eastAsia="標楷體"/>
              </w:rPr>
            </w:pPr>
            <w:r w:rsidRPr="00C015D1">
              <w:rPr>
                <w:rFonts w:eastAsia="標楷體"/>
              </w:rPr>
              <w:t>二</w:t>
            </w:r>
          </w:p>
        </w:tc>
        <w:tc>
          <w:tcPr>
            <w:tcW w:w="0" w:type="auto"/>
          </w:tcPr>
          <w:p w:rsidR="00EF2AEE" w:rsidRDefault="00EF2AEE" w:rsidP="003A2660">
            <w:pPr>
              <w:snapToGrid w:val="0"/>
              <w:jc w:val="both"/>
              <w:rPr>
                <w:rFonts w:eastAsia="標楷體"/>
              </w:rPr>
            </w:pPr>
            <w:r w:rsidRPr="00C015D1">
              <w:rPr>
                <w:rFonts w:eastAsia="標楷體"/>
              </w:rPr>
              <w:t>本公司至</w:t>
            </w:r>
            <w:r w:rsidRPr="00C015D1">
              <w:rPr>
                <w:rFonts w:eastAsia="標楷體"/>
                <w:u w:val="single"/>
              </w:rPr>
              <w:t xml:space="preserve">　　</w:t>
            </w:r>
            <w:r w:rsidRPr="00C015D1">
              <w:rPr>
                <w:rFonts w:eastAsia="標楷體"/>
              </w:rPr>
              <w:t>年</w:t>
            </w:r>
            <w:r w:rsidRPr="00C015D1">
              <w:rPr>
                <w:rFonts w:eastAsia="標楷體"/>
                <w:u w:val="single"/>
              </w:rPr>
              <w:t xml:space="preserve">　　</w:t>
            </w:r>
            <w:r w:rsidRPr="00C015D1">
              <w:rPr>
                <w:rFonts w:eastAsia="標楷體"/>
              </w:rPr>
              <w:t>月</w:t>
            </w:r>
            <w:r w:rsidRPr="00C015D1">
              <w:rPr>
                <w:rFonts w:eastAsia="標楷體"/>
                <w:u w:val="single"/>
              </w:rPr>
              <w:t xml:space="preserve">　　</w:t>
            </w:r>
            <w:r w:rsidRPr="00C015D1">
              <w:rPr>
                <w:rFonts w:eastAsia="標楷體"/>
              </w:rPr>
              <w:t>日止國外投資總額</w:t>
            </w:r>
            <w:r w:rsidRPr="00C015D1">
              <w:rPr>
                <w:rFonts w:eastAsia="標楷體"/>
                <w:u w:val="single"/>
              </w:rPr>
              <w:t xml:space="preserve">　　　　</w:t>
            </w:r>
            <w:r w:rsidRPr="00C015D1">
              <w:rPr>
                <w:rFonts w:eastAsia="標楷體"/>
              </w:rPr>
              <w:t>千元占本公司資金總額</w:t>
            </w:r>
            <w:r w:rsidRPr="00C015D1">
              <w:rPr>
                <w:rFonts w:eastAsia="標楷體"/>
                <w:u w:val="single"/>
              </w:rPr>
              <w:t xml:space="preserve">　　　　</w:t>
            </w:r>
            <w:r w:rsidRPr="00C015D1">
              <w:rPr>
                <w:rFonts w:eastAsia="標楷體"/>
              </w:rPr>
              <w:t>千元之比例為</w:t>
            </w:r>
            <w:r w:rsidRPr="00C015D1">
              <w:rPr>
                <w:rFonts w:eastAsia="標楷體"/>
                <w:u w:val="single"/>
              </w:rPr>
              <w:t xml:space="preserve">　</w:t>
            </w:r>
            <w:r w:rsidRPr="00C015D1">
              <w:rPr>
                <w:rFonts w:eastAsia="標楷體"/>
                <w:u w:val="single"/>
              </w:rPr>
              <w:t xml:space="preserve">  </w:t>
            </w:r>
            <w:r w:rsidRPr="00C015D1">
              <w:rPr>
                <w:rFonts w:eastAsia="標楷體"/>
                <w:u w:val="single"/>
              </w:rPr>
              <w:t xml:space="preserve">　</w:t>
            </w:r>
            <w:r w:rsidRPr="00C015D1">
              <w:rPr>
                <w:rFonts w:eastAsia="標楷體"/>
              </w:rPr>
              <w:t>%</w:t>
            </w:r>
            <w:r w:rsidRPr="00C015D1">
              <w:rPr>
                <w:rFonts w:eastAsia="標楷體"/>
              </w:rPr>
              <w:t>，與本公司奉核定國外投資額度比例之差異數為</w:t>
            </w:r>
            <w:r w:rsidRPr="00C015D1">
              <w:rPr>
                <w:rFonts w:eastAsia="標楷體"/>
                <w:u w:val="single"/>
              </w:rPr>
              <w:t xml:space="preserve">　　　</w:t>
            </w:r>
            <w:r w:rsidRPr="00C015D1">
              <w:rPr>
                <w:rFonts w:eastAsia="標楷體"/>
                <w:u w:val="single"/>
              </w:rPr>
              <w:t xml:space="preserve"> </w:t>
            </w:r>
            <w:r w:rsidRPr="00C015D1">
              <w:rPr>
                <w:rFonts w:eastAsia="標楷體"/>
              </w:rPr>
              <w:t>%</w:t>
            </w:r>
            <w:r w:rsidRPr="00C015D1">
              <w:rPr>
                <w:rFonts w:eastAsia="標楷體"/>
              </w:rPr>
              <w:t>；得依保險法第</w:t>
            </w:r>
            <w:r w:rsidRPr="00C015D1">
              <w:rPr>
                <w:rFonts w:eastAsia="標楷體"/>
              </w:rPr>
              <w:t>146</w:t>
            </w:r>
            <w:r w:rsidRPr="00C015D1">
              <w:rPr>
                <w:rFonts w:eastAsia="標楷體"/>
              </w:rPr>
              <w:t>條之</w:t>
            </w:r>
            <w:r w:rsidRPr="00C015D1">
              <w:rPr>
                <w:rFonts w:eastAsia="標楷體"/>
              </w:rPr>
              <w:t>4</w:t>
            </w:r>
            <w:r w:rsidRPr="00C015D1">
              <w:rPr>
                <w:rFonts w:eastAsia="標楷體"/>
              </w:rPr>
              <w:t>第</w:t>
            </w:r>
            <w:r w:rsidRPr="00C015D1">
              <w:rPr>
                <w:rFonts w:eastAsia="標楷體"/>
              </w:rPr>
              <w:t>2</w:t>
            </w:r>
            <w:r w:rsidRPr="00C015D1">
              <w:rPr>
                <w:rFonts w:eastAsia="標楷體"/>
              </w:rPr>
              <w:t>項但書不計入國外投資限額之金額</w:t>
            </w:r>
            <w:r w:rsidRPr="003E0FDA">
              <w:rPr>
                <w:rFonts w:eastAsia="標楷體"/>
                <w:color w:val="FF0000"/>
                <w:u w:val="single"/>
              </w:rPr>
              <w:t>為</w:t>
            </w:r>
            <w:r w:rsidRPr="00337EEF">
              <w:rPr>
                <w:rFonts w:eastAsia="標楷體" w:hint="eastAsia"/>
                <w:color w:val="FF0000"/>
              </w:rPr>
              <w:t xml:space="preserve"> </w:t>
            </w:r>
            <w:r w:rsidRPr="003E0FDA">
              <w:rPr>
                <w:rFonts w:eastAsia="標楷體" w:hint="eastAsia"/>
                <w:color w:val="FF0000"/>
                <w:u w:val="single"/>
              </w:rPr>
              <w:t xml:space="preserve">   </w:t>
            </w:r>
            <w:r w:rsidRPr="00C015D1">
              <w:rPr>
                <w:rFonts w:eastAsia="標楷體"/>
              </w:rPr>
              <w:t>千元</w:t>
            </w:r>
            <w:r w:rsidRPr="00C015D1">
              <w:rPr>
                <w:rFonts w:eastAsia="標楷體"/>
              </w:rPr>
              <w:t>;</w:t>
            </w:r>
            <w:r w:rsidRPr="00C015D1">
              <w:rPr>
                <w:rFonts w:eastAsia="標楷體"/>
              </w:rPr>
              <w:t>加計不計入國外投資限額之投資項目後之國外投資總額</w:t>
            </w:r>
            <w:r w:rsidRPr="00C015D1">
              <w:rPr>
                <w:rFonts w:eastAsia="標楷體"/>
              </w:rPr>
              <w:t>________</w:t>
            </w:r>
            <w:r w:rsidRPr="00C015D1">
              <w:rPr>
                <w:rFonts w:eastAsia="標楷體"/>
              </w:rPr>
              <w:t>千元占本公司資金總額之比例為</w:t>
            </w:r>
            <w:r w:rsidRPr="00C015D1">
              <w:rPr>
                <w:rFonts w:eastAsia="標楷體"/>
              </w:rPr>
              <w:t>_______%</w:t>
            </w:r>
            <w:r w:rsidRPr="00C015D1">
              <w:rPr>
                <w:rFonts w:eastAsia="標楷體"/>
              </w:rPr>
              <w:t>；</w:t>
            </w:r>
            <w:r w:rsidRPr="006B060E">
              <w:rPr>
                <w:rFonts w:eastAsia="標楷體" w:hint="eastAsia"/>
              </w:rPr>
              <w:t>對國內證券市場上市或上櫃買賣之外幣計價股權或債權憑證之</w:t>
            </w:r>
            <w:r w:rsidRPr="006B060E">
              <w:rPr>
                <w:rFonts w:eastAsia="標楷體"/>
              </w:rPr>
              <w:t>投資總額加計應計入國外投資額度之合計數，占保險業經核定國外投資額度之比例為</w:t>
            </w:r>
          </w:p>
          <w:p w:rsidR="00EF2AEE" w:rsidRPr="00C015D1" w:rsidRDefault="00EF2AEE" w:rsidP="003A2660">
            <w:pPr>
              <w:snapToGrid w:val="0"/>
              <w:jc w:val="both"/>
              <w:rPr>
                <w:rFonts w:eastAsia="標楷體"/>
              </w:rPr>
            </w:pPr>
            <w:r w:rsidRPr="008A15F7">
              <w:rPr>
                <w:rFonts w:eastAsia="標楷體" w:hint="eastAsia"/>
                <w:u w:val="single"/>
              </w:rPr>
              <w:t xml:space="preserve">     </w:t>
            </w:r>
            <w:r w:rsidRPr="006B060E">
              <w:rPr>
                <w:rFonts w:eastAsia="標楷體"/>
              </w:rPr>
              <w:t>%</w:t>
            </w:r>
            <w:r w:rsidRPr="006B060E">
              <w:rPr>
                <w:rFonts w:eastAsia="標楷體"/>
              </w:rPr>
              <w:t>。</w:t>
            </w:r>
          </w:p>
        </w:tc>
        <w:tc>
          <w:tcPr>
            <w:tcW w:w="0" w:type="auto"/>
          </w:tcPr>
          <w:p w:rsidR="00EF2AEE" w:rsidRPr="00C015D1" w:rsidRDefault="00EF2AEE" w:rsidP="003A2660">
            <w:pPr>
              <w:snapToGrid w:val="0"/>
              <w:spacing w:line="260" w:lineRule="exact"/>
              <w:jc w:val="center"/>
              <w:rPr>
                <w:rFonts w:eastAsia="標楷體"/>
              </w:rPr>
            </w:pPr>
          </w:p>
        </w:tc>
        <w:tc>
          <w:tcPr>
            <w:tcW w:w="0" w:type="auto"/>
          </w:tcPr>
          <w:p w:rsidR="00EF2AEE" w:rsidRPr="00C015D1" w:rsidRDefault="00EF2AEE" w:rsidP="003A2660">
            <w:pPr>
              <w:snapToGrid w:val="0"/>
              <w:spacing w:line="260" w:lineRule="exact"/>
              <w:jc w:val="center"/>
              <w:rPr>
                <w:rFonts w:eastAsia="標楷體"/>
              </w:rPr>
            </w:pPr>
          </w:p>
        </w:tc>
        <w:tc>
          <w:tcPr>
            <w:tcW w:w="0" w:type="auto"/>
          </w:tcPr>
          <w:p w:rsidR="00EF2AEE" w:rsidRPr="00C015D1" w:rsidRDefault="00EF2AEE" w:rsidP="003A2660">
            <w:pPr>
              <w:snapToGrid w:val="0"/>
              <w:spacing w:line="260" w:lineRule="exact"/>
              <w:jc w:val="center"/>
              <w:rPr>
                <w:rFonts w:eastAsia="標楷體"/>
              </w:rPr>
            </w:pPr>
          </w:p>
        </w:tc>
        <w:tc>
          <w:tcPr>
            <w:tcW w:w="0" w:type="auto"/>
            <w:vMerge/>
          </w:tcPr>
          <w:p w:rsidR="00EF2AEE" w:rsidRPr="00C015D1" w:rsidRDefault="00EF2AEE" w:rsidP="003A2660">
            <w:pPr>
              <w:snapToGrid w:val="0"/>
              <w:spacing w:line="360" w:lineRule="exact"/>
              <w:jc w:val="both"/>
              <w:rPr>
                <w:rFonts w:eastAsia="標楷體"/>
              </w:rPr>
            </w:pPr>
          </w:p>
        </w:tc>
      </w:tr>
      <w:tr w:rsidR="00EF2AEE" w:rsidRPr="00C015D1" w:rsidTr="003A2660">
        <w:trPr>
          <w:jc w:val="center"/>
        </w:trPr>
        <w:tc>
          <w:tcPr>
            <w:tcW w:w="0" w:type="auto"/>
          </w:tcPr>
          <w:p w:rsidR="00EF2AEE" w:rsidRPr="00C015D1" w:rsidRDefault="00EF2AEE" w:rsidP="003A2660">
            <w:pPr>
              <w:snapToGrid w:val="0"/>
              <w:jc w:val="center"/>
              <w:rPr>
                <w:rFonts w:eastAsia="標楷體"/>
              </w:rPr>
            </w:pPr>
            <w:r w:rsidRPr="00C015D1">
              <w:rPr>
                <w:rFonts w:eastAsia="標楷體"/>
              </w:rPr>
              <w:t>三</w:t>
            </w:r>
          </w:p>
        </w:tc>
        <w:tc>
          <w:tcPr>
            <w:tcW w:w="0" w:type="auto"/>
          </w:tcPr>
          <w:p w:rsidR="00EF2AEE" w:rsidRPr="00C015D1" w:rsidRDefault="00EF2AEE" w:rsidP="003A2660">
            <w:pPr>
              <w:snapToGrid w:val="0"/>
              <w:jc w:val="both"/>
              <w:rPr>
                <w:rFonts w:eastAsia="標楷體"/>
              </w:rPr>
            </w:pPr>
            <w:r w:rsidRPr="00C015D1">
              <w:rPr>
                <w:rFonts w:eastAsia="標楷體"/>
              </w:rPr>
              <w:t>已訂定國外投資相關交易處理程序及風險監控管理措施，並經董事會同意，其中國外投資相關交易處理程序應包括書面分析報告之製作、交付執行之紀錄與檢討報告之提交等，其相關資料應至少保存</w:t>
            </w:r>
            <w:r w:rsidRPr="00C015D1">
              <w:rPr>
                <w:rFonts w:eastAsia="標楷體"/>
              </w:rPr>
              <w:t>5</w:t>
            </w:r>
            <w:r w:rsidRPr="00C015D1">
              <w:rPr>
                <w:rFonts w:eastAsia="標楷體"/>
              </w:rPr>
              <w:t>年；國外投資風險監控管理措施應包括有效執行之風險管理政策、風險管理架構及風險管理制度，其中風險管理制度應涵蓋國外投資相關風險類別之識別、衡量、監控及限額控管之執行及變更程序。</w:t>
            </w:r>
          </w:p>
        </w:tc>
        <w:tc>
          <w:tcPr>
            <w:tcW w:w="0" w:type="auto"/>
          </w:tcPr>
          <w:p w:rsidR="00EF2AEE" w:rsidRPr="00C015D1" w:rsidRDefault="00EF2AEE" w:rsidP="003A2660">
            <w:pPr>
              <w:snapToGrid w:val="0"/>
              <w:jc w:val="center"/>
              <w:rPr>
                <w:rFonts w:eastAsia="標楷體"/>
                <w:sz w:val="28"/>
                <w:szCs w:val="28"/>
              </w:rPr>
            </w:pPr>
          </w:p>
        </w:tc>
        <w:tc>
          <w:tcPr>
            <w:tcW w:w="0" w:type="auto"/>
          </w:tcPr>
          <w:p w:rsidR="00EF2AEE" w:rsidRPr="00C015D1" w:rsidRDefault="00EF2AEE" w:rsidP="003A2660">
            <w:pPr>
              <w:snapToGrid w:val="0"/>
              <w:jc w:val="both"/>
              <w:rPr>
                <w:rFonts w:eastAsia="標楷體"/>
                <w:sz w:val="28"/>
                <w:szCs w:val="28"/>
              </w:rPr>
            </w:pPr>
          </w:p>
        </w:tc>
        <w:tc>
          <w:tcPr>
            <w:tcW w:w="0" w:type="auto"/>
          </w:tcPr>
          <w:p w:rsidR="00EF2AEE" w:rsidRPr="00C015D1" w:rsidRDefault="00EF2AEE" w:rsidP="003A2660">
            <w:pPr>
              <w:snapToGrid w:val="0"/>
              <w:jc w:val="both"/>
              <w:rPr>
                <w:rFonts w:eastAsia="標楷體"/>
                <w:sz w:val="28"/>
                <w:szCs w:val="28"/>
              </w:rPr>
            </w:pPr>
          </w:p>
        </w:tc>
        <w:tc>
          <w:tcPr>
            <w:tcW w:w="0" w:type="auto"/>
            <w:vMerge w:val="restart"/>
          </w:tcPr>
          <w:p w:rsidR="00EF2AEE" w:rsidRPr="00C015D1" w:rsidRDefault="00EF2AEE" w:rsidP="003A2660">
            <w:pPr>
              <w:snapToGrid w:val="0"/>
              <w:jc w:val="both"/>
              <w:rPr>
                <w:rFonts w:eastAsia="標楷體"/>
              </w:rPr>
            </w:pPr>
            <w:r w:rsidRPr="00C015D1">
              <w:rPr>
                <w:rFonts w:eastAsia="標楷體"/>
              </w:rPr>
              <w:t>提高額度至</w:t>
            </w:r>
            <w:r w:rsidRPr="00C015D1">
              <w:rPr>
                <w:rFonts w:eastAsia="標楷體"/>
              </w:rPr>
              <w:t>25%</w:t>
            </w:r>
            <w:r w:rsidRPr="00C015D1">
              <w:rPr>
                <w:rFonts w:eastAsia="標楷體"/>
              </w:rPr>
              <w:t>以上者</w:t>
            </w:r>
          </w:p>
        </w:tc>
      </w:tr>
      <w:tr w:rsidR="00EF2AEE" w:rsidRPr="00C015D1" w:rsidTr="003A2660">
        <w:trPr>
          <w:trHeight w:val="1506"/>
          <w:jc w:val="center"/>
        </w:trPr>
        <w:tc>
          <w:tcPr>
            <w:tcW w:w="0" w:type="auto"/>
          </w:tcPr>
          <w:p w:rsidR="00EF2AEE" w:rsidRPr="00C015D1" w:rsidRDefault="00EF2AEE" w:rsidP="003A2660">
            <w:pPr>
              <w:snapToGrid w:val="0"/>
              <w:jc w:val="center"/>
              <w:rPr>
                <w:rFonts w:eastAsia="標楷體"/>
              </w:rPr>
            </w:pPr>
            <w:r w:rsidRPr="00C015D1">
              <w:rPr>
                <w:rFonts w:eastAsia="標楷體"/>
              </w:rPr>
              <w:t>四</w:t>
            </w:r>
          </w:p>
        </w:tc>
        <w:tc>
          <w:tcPr>
            <w:tcW w:w="0" w:type="auto"/>
          </w:tcPr>
          <w:p w:rsidR="00EF2AEE" w:rsidRPr="00C015D1" w:rsidRDefault="00EF2AEE" w:rsidP="003A2660">
            <w:pPr>
              <w:snapToGrid w:val="0"/>
              <w:jc w:val="both"/>
              <w:rPr>
                <w:rFonts w:eastAsia="標楷體"/>
              </w:rPr>
            </w:pPr>
            <w:r w:rsidRPr="00C015D1">
              <w:rPr>
                <w:rFonts w:eastAsia="標楷體"/>
              </w:rPr>
              <w:t>國外資產委由保管機構保管者，該機構應為臺灣集中保管結算所股份有限公司</w:t>
            </w:r>
            <w:r w:rsidRPr="00C015D1">
              <w:rPr>
                <w:rFonts w:eastAsia="標楷體"/>
              </w:rPr>
              <w:t>(</w:t>
            </w:r>
            <w:r w:rsidRPr="00C015D1">
              <w:rPr>
                <w:rFonts w:eastAsia="標楷體"/>
              </w:rPr>
              <w:t>以下簡稱集保結算所</w:t>
            </w:r>
            <w:r w:rsidRPr="00C015D1">
              <w:rPr>
                <w:rFonts w:eastAsia="標楷體"/>
              </w:rPr>
              <w:t>)</w:t>
            </w:r>
            <w:r w:rsidRPr="00C015D1">
              <w:rPr>
                <w:rFonts w:eastAsia="標楷體"/>
              </w:rPr>
              <w:t>，或</w:t>
            </w:r>
            <w:r w:rsidRPr="006B060E">
              <w:rPr>
                <w:rFonts w:eastAsia="標楷體"/>
              </w:rPr>
              <w:t>最近一年經國內外信用評等機構評定信用評等等級為</w:t>
            </w:r>
            <w:r w:rsidRPr="006B060E">
              <w:rPr>
                <w:rFonts w:eastAsia="標楷體"/>
              </w:rPr>
              <w:t>A-</w:t>
            </w:r>
            <w:r w:rsidRPr="006B060E">
              <w:rPr>
                <w:rFonts w:eastAsia="標楷體"/>
              </w:rPr>
              <w:t>級或相當等級以上之本國金融機構及外國金融機構在</w:t>
            </w:r>
            <w:proofErr w:type="gramStart"/>
            <w:r w:rsidRPr="006B060E">
              <w:rPr>
                <w:rFonts w:eastAsia="標楷體"/>
              </w:rPr>
              <w:t>臺</w:t>
            </w:r>
            <w:proofErr w:type="gramEnd"/>
            <w:r w:rsidRPr="006B060E">
              <w:rPr>
                <w:rFonts w:eastAsia="標楷體"/>
              </w:rPr>
              <w:t>分支機構。但報經主管機關核准者，得委由符合下列標準之國外金融機構保管：</w:t>
            </w:r>
            <w:r w:rsidRPr="00C015D1">
              <w:rPr>
                <w:rFonts w:eastAsia="標楷體"/>
              </w:rPr>
              <w:t>(</w:t>
            </w:r>
            <w:r w:rsidRPr="00C015D1">
              <w:rPr>
                <w:rFonts w:eastAsia="標楷體"/>
              </w:rPr>
              <w:t>至少應附已納入相關內部控制制度之文件、保管機構名單、成立年限、於我國境內設立分公司或子公司情形、信用評等等級符合各項條件之證明文件及彙整說明表</w:t>
            </w:r>
            <w:r w:rsidRPr="00C015D1">
              <w:rPr>
                <w:rFonts w:eastAsia="標楷體"/>
              </w:rPr>
              <w:t>)</w:t>
            </w:r>
          </w:p>
          <w:p w:rsidR="00EF2AEE" w:rsidRPr="00C015D1" w:rsidRDefault="00EF2AEE" w:rsidP="003A2660">
            <w:pPr>
              <w:snapToGrid w:val="0"/>
              <w:ind w:left="480" w:hangingChars="200" w:hanging="480"/>
              <w:jc w:val="both"/>
              <w:rPr>
                <w:rFonts w:eastAsia="標楷體"/>
              </w:rPr>
            </w:pPr>
            <w:r w:rsidRPr="00C015D1">
              <w:rPr>
                <w:rFonts w:eastAsia="標楷體"/>
              </w:rPr>
              <w:t>(</w:t>
            </w:r>
            <w:proofErr w:type="gramStart"/>
            <w:r w:rsidRPr="00C015D1">
              <w:rPr>
                <w:rFonts w:eastAsia="標楷體"/>
              </w:rPr>
              <w:t>一</w:t>
            </w:r>
            <w:proofErr w:type="gramEnd"/>
            <w:r w:rsidRPr="00C015D1">
              <w:rPr>
                <w:rFonts w:eastAsia="標楷體"/>
              </w:rPr>
              <w:t>)</w:t>
            </w:r>
            <w:r w:rsidRPr="00C015D1">
              <w:rPr>
                <w:rFonts w:eastAsia="標楷體"/>
              </w:rPr>
              <w:t>成立滿三年以上，在我國境內設有分公司或經核准辦理保管業務之子公司。</w:t>
            </w:r>
          </w:p>
          <w:p w:rsidR="00EF2AEE" w:rsidRPr="00C015D1" w:rsidRDefault="00EF2AEE" w:rsidP="003A2660">
            <w:pPr>
              <w:snapToGrid w:val="0"/>
              <w:ind w:left="480" w:hangingChars="200" w:hanging="480"/>
              <w:jc w:val="both"/>
              <w:rPr>
                <w:rFonts w:eastAsia="標楷體"/>
              </w:rPr>
            </w:pPr>
            <w:r w:rsidRPr="00C015D1">
              <w:rPr>
                <w:rFonts w:eastAsia="標楷體"/>
              </w:rPr>
              <w:t>(</w:t>
            </w:r>
            <w:r w:rsidRPr="00C015D1">
              <w:rPr>
                <w:rFonts w:eastAsia="標楷體"/>
              </w:rPr>
              <w:t>二</w:t>
            </w:r>
            <w:r w:rsidRPr="00C015D1">
              <w:rPr>
                <w:rFonts w:eastAsia="標楷體"/>
              </w:rPr>
              <w:t>)</w:t>
            </w:r>
            <w:r w:rsidRPr="00C015D1">
              <w:rPr>
                <w:rFonts w:eastAsia="標楷體"/>
              </w:rPr>
              <w:t>最近一年經國內外信用評等機構評定信用評等等級為</w:t>
            </w:r>
            <w:r w:rsidRPr="00C015D1">
              <w:rPr>
                <w:rFonts w:eastAsia="標楷體"/>
              </w:rPr>
              <w:t xml:space="preserve"> A- </w:t>
            </w:r>
            <w:r w:rsidRPr="00C015D1">
              <w:rPr>
                <w:rFonts w:eastAsia="標楷體"/>
              </w:rPr>
              <w:t>級或相當等級以上。</w:t>
            </w:r>
          </w:p>
          <w:p w:rsidR="00EF2AEE" w:rsidRPr="00C015D1" w:rsidRDefault="00EF2AEE" w:rsidP="003A2660">
            <w:pPr>
              <w:snapToGrid w:val="0"/>
              <w:ind w:left="480" w:hangingChars="200" w:hanging="480"/>
              <w:jc w:val="both"/>
              <w:rPr>
                <w:rFonts w:eastAsia="標楷體"/>
              </w:rPr>
            </w:pPr>
            <w:r w:rsidRPr="00C015D1">
              <w:rPr>
                <w:rFonts w:eastAsia="標楷體"/>
              </w:rPr>
              <w:lastRenderedPageBreak/>
              <w:t>(</w:t>
            </w:r>
            <w:r w:rsidRPr="00C015D1">
              <w:rPr>
                <w:rFonts w:eastAsia="標楷體"/>
              </w:rPr>
              <w:t>三</w:t>
            </w:r>
            <w:r w:rsidRPr="00C015D1">
              <w:rPr>
                <w:rFonts w:eastAsia="標楷體"/>
              </w:rPr>
              <w:t>)</w:t>
            </w:r>
            <w:r w:rsidRPr="00C015D1">
              <w:rPr>
                <w:rFonts w:eastAsia="標楷體"/>
              </w:rPr>
              <w:t>最近一年資產或淨值排名居全世界前五百名以內之銀行或所保管之資產達五千億美元以上之機構。</w:t>
            </w:r>
            <w:r w:rsidRPr="00C015D1">
              <w:rPr>
                <w:rFonts w:eastAsia="標楷體"/>
              </w:rPr>
              <w:t xml:space="preserve"> </w:t>
            </w:r>
          </w:p>
        </w:tc>
        <w:tc>
          <w:tcPr>
            <w:tcW w:w="0" w:type="auto"/>
          </w:tcPr>
          <w:p w:rsidR="00EF2AEE" w:rsidRPr="00C015D1" w:rsidRDefault="00EF2AEE" w:rsidP="003A2660">
            <w:pPr>
              <w:snapToGrid w:val="0"/>
              <w:jc w:val="center"/>
              <w:rPr>
                <w:rFonts w:eastAsia="標楷體"/>
                <w:sz w:val="28"/>
                <w:szCs w:val="28"/>
              </w:rPr>
            </w:pPr>
          </w:p>
        </w:tc>
        <w:tc>
          <w:tcPr>
            <w:tcW w:w="0" w:type="auto"/>
          </w:tcPr>
          <w:p w:rsidR="00EF2AEE" w:rsidRPr="00C015D1" w:rsidRDefault="00EF2AEE" w:rsidP="003A2660">
            <w:pPr>
              <w:snapToGrid w:val="0"/>
              <w:jc w:val="both"/>
              <w:rPr>
                <w:rFonts w:eastAsia="標楷體"/>
                <w:sz w:val="28"/>
                <w:szCs w:val="28"/>
              </w:rPr>
            </w:pPr>
          </w:p>
        </w:tc>
        <w:tc>
          <w:tcPr>
            <w:tcW w:w="0" w:type="auto"/>
          </w:tcPr>
          <w:p w:rsidR="00EF2AEE" w:rsidRPr="00C015D1" w:rsidRDefault="00EF2AEE" w:rsidP="003A2660">
            <w:pPr>
              <w:snapToGrid w:val="0"/>
              <w:jc w:val="both"/>
              <w:rPr>
                <w:rFonts w:eastAsia="標楷體"/>
                <w:sz w:val="28"/>
                <w:szCs w:val="28"/>
              </w:rPr>
            </w:pPr>
          </w:p>
        </w:tc>
        <w:tc>
          <w:tcPr>
            <w:tcW w:w="0" w:type="auto"/>
            <w:vMerge/>
          </w:tcPr>
          <w:p w:rsidR="00EF2AEE" w:rsidRPr="00C015D1" w:rsidRDefault="00EF2AEE" w:rsidP="003A2660">
            <w:pPr>
              <w:snapToGrid w:val="0"/>
              <w:jc w:val="both"/>
              <w:rPr>
                <w:rFonts w:eastAsia="標楷體"/>
                <w:sz w:val="28"/>
                <w:szCs w:val="28"/>
              </w:rPr>
            </w:pPr>
          </w:p>
        </w:tc>
      </w:tr>
      <w:tr w:rsidR="00EF2AEE" w:rsidRPr="00C015D1" w:rsidTr="003A2660">
        <w:trPr>
          <w:trHeight w:val="557"/>
          <w:jc w:val="center"/>
        </w:trPr>
        <w:tc>
          <w:tcPr>
            <w:tcW w:w="0" w:type="auto"/>
          </w:tcPr>
          <w:p w:rsidR="00EF2AEE" w:rsidRPr="00C015D1" w:rsidRDefault="00EF2AEE" w:rsidP="003A2660">
            <w:pPr>
              <w:snapToGrid w:val="0"/>
              <w:jc w:val="center"/>
              <w:rPr>
                <w:rFonts w:eastAsia="標楷體"/>
              </w:rPr>
            </w:pPr>
            <w:r w:rsidRPr="00C015D1">
              <w:rPr>
                <w:rFonts w:eastAsia="標楷體"/>
              </w:rPr>
              <w:t>五</w:t>
            </w:r>
          </w:p>
        </w:tc>
        <w:tc>
          <w:tcPr>
            <w:tcW w:w="0" w:type="auto"/>
          </w:tcPr>
          <w:p w:rsidR="00EF2AEE" w:rsidRPr="00C015D1" w:rsidRDefault="00EF2AEE" w:rsidP="00EF2AEE">
            <w:pPr>
              <w:numPr>
                <w:ilvl w:val="0"/>
                <w:numId w:val="2"/>
              </w:numPr>
              <w:tabs>
                <w:tab w:val="left" w:pos="539"/>
              </w:tabs>
              <w:snapToGrid w:val="0"/>
              <w:jc w:val="both"/>
              <w:rPr>
                <w:rFonts w:eastAsia="標楷體"/>
              </w:rPr>
            </w:pPr>
            <w:r w:rsidRPr="00C015D1">
              <w:rPr>
                <w:rFonts w:eastAsia="標楷體"/>
              </w:rPr>
              <w:t>投資國內證券市場上市或上櫃買賣之</w:t>
            </w:r>
            <w:r w:rsidRPr="00974374">
              <w:rPr>
                <w:rFonts w:eastAsia="標楷體" w:hint="eastAsia"/>
              </w:rPr>
              <w:t>外幣計價股權</w:t>
            </w:r>
            <w:r w:rsidRPr="00974374">
              <w:rPr>
                <w:rFonts w:eastAsia="標楷體" w:hint="eastAsia"/>
                <w:color w:val="FF0000"/>
                <w:u w:val="single"/>
              </w:rPr>
              <w:t>、</w:t>
            </w:r>
            <w:r w:rsidRPr="00974374">
              <w:rPr>
                <w:rFonts w:eastAsia="標楷體" w:hint="eastAsia"/>
              </w:rPr>
              <w:t>債權憑證</w:t>
            </w:r>
            <w:r w:rsidRPr="00974374">
              <w:rPr>
                <w:rFonts w:eastAsia="標楷體" w:hint="eastAsia"/>
                <w:color w:val="FF0000"/>
                <w:u w:val="single"/>
              </w:rPr>
              <w:t>或伊斯蘭固定收益證券</w:t>
            </w:r>
            <w:r w:rsidRPr="00C015D1">
              <w:rPr>
                <w:rFonts w:eastAsia="標楷體"/>
              </w:rPr>
              <w:t>，已依有價證券集中保管帳簿劃撥作業辦法進行保管。</w:t>
            </w:r>
            <w:r w:rsidRPr="00C015D1">
              <w:rPr>
                <w:rFonts w:eastAsia="標楷體"/>
              </w:rPr>
              <w:t>(</w:t>
            </w:r>
            <w:r w:rsidRPr="00C015D1">
              <w:rPr>
                <w:rFonts w:eastAsia="標楷體"/>
              </w:rPr>
              <w:t>至少應附委託本國銀行、外銀在台分行或子行、證券商或集保結算所保管情形之證明文件</w:t>
            </w:r>
            <w:r w:rsidRPr="00C015D1">
              <w:rPr>
                <w:rFonts w:eastAsia="標楷體"/>
              </w:rPr>
              <w:t>)</w:t>
            </w:r>
          </w:p>
          <w:p w:rsidR="00EF2AEE" w:rsidRPr="00C015D1" w:rsidRDefault="00EF2AEE" w:rsidP="00EF2AEE">
            <w:pPr>
              <w:numPr>
                <w:ilvl w:val="0"/>
                <w:numId w:val="2"/>
              </w:numPr>
              <w:tabs>
                <w:tab w:val="left" w:pos="539"/>
              </w:tabs>
              <w:snapToGrid w:val="0"/>
              <w:ind w:left="529" w:hanging="529"/>
              <w:jc w:val="both"/>
              <w:rPr>
                <w:rFonts w:eastAsia="標楷體"/>
              </w:rPr>
            </w:pPr>
            <w:r w:rsidRPr="00C015D1">
              <w:rPr>
                <w:rFonts w:eastAsia="標楷體"/>
              </w:rPr>
              <w:t>經核定國外投資額度達資金</w:t>
            </w:r>
            <w:r w:rsidRPr="00C015D1">
              <w:rPr>
                <w:rFonts w:eastAsia="標楷體"/>
              </w:rPr>
              <w:t>35%</w:t>
            </w:r>
            <w:r w:rsidRPr="00C015D1">
              <w:rPr>
                <w:rFonts w:eastAsia="標楷體"/>
              </w:rPr>
              <w:t>或國外投資金額達美金</w:t>
            </w:r>
            <w:r w:rsidRPr="00C015D1">
              <w:rPr>
                <w:rFonts w:eastAsia="標楷體"/>
              </w:rPr>
              <w:t>10</w:t>
            </w:r>
            <w:r w:rsidRPr="00C015D1">
              <w:rPr>
                <w:rFonts w:eastAsia="標楷體"/>
              </w:rPr>
              <w:t>億元以上者，其國外投資有價證券已集中由保管機構負責保管，且集保結算所以外之保管機構未超過</w:t>
            </w:r>
            <w:r w:rsidRPr="00C015D1">
              <w:rPr>
                <w:rFonts w:eastAsia="標楷體"/>
              </w:rPr>
              <w:t>5</w:t>
            </w:r>
            <w:r w:rsidRPr="00C015D1">
              <w:rPr>
                <w:rFonts w:eastAsia="標楷體"/>
              </w:rPr>
              <w:t>家。</w:t>
            </w:r>
          </w:p>
          <w:p w:rsidR="00EF2AEE" w:rsidRPr="00C015D1" w:rsidRDefault="00EF2AEE" w:rsidP="00EF2AEE">
            <w:pPr>
              <w:numPr>
                <w:ilvl w:val="0"/>
                <w:numId w:val="2"/>
              </w:numPr>
              <w:tabs>
                <w:tab w:val="left" w:pos="539"/>
              </w:tabs>
              <w:snapToGrid w:val="0"/>
              <w:jc w:val="both"/>
              <w:rPr>
                <w:rFonts w:eastAsia="標楷體"/>
              </w:rPr>
            </w:pPr>
            <w:r w:rsidRPr="00C015D1">
              <w:rPr>
                <w:rFonts w:eastAsia="標楷體"/>
              </w:rPr>
              <w:t>已委託會計師就國外投資之內部控制制度設計及執行是否有效進行查核並出具意見，納入會計師內部控制制度查核報告報主管機關備查。</w:t>
            </w:r>
            <w:r w:rsidRPr="00C015D1">
              <w:rPr>
                <w:rFonts w:eastAsia="標楷體"/>
              </w:rPr>
              <w:t>(</w:t>
            </w:r>
            <w:r w:rsidRPr="00C015D1">
              <w:rPr>
                <w:rFonts w:eastAsia="標楷體"/>
              </w:rPr>
              <w:t>至少應附最近一次會計師內部控制制度查核報告及報主管機關備查函</w:t>
            </w:r>
            <w:r w:rsidRPr="00C015D1">
              <w:rPr>
                <w:rFonts w:eastAsia="標楷體"/>
              </w:rPr>
              <w:t>)</w:t>
            </w:r>
          </w:p>
        </w:tc>
        <w:tc>
          <w:tcPr>
            <w:tcW w:w="0" w:type="auto"/>
          </w:tcPr>
          <w:p w:rsidR="00EF2AEE" w:rsidRPr="00C015D1" w:rsidRDefault="00EF2AEE" w:rsidP="003A2660">
            <w:pPr>
              <w:snapToGrid w:val="0"/>
              <w:jc w:val="center"/>
              <w:rPr>
                <w:rFonts w:eastAsia="標楷體"/>
                <w:sz w:val="28"/>
                <w:szCs w:val="28"/>
              </w:rPr>
            </w:pPr>
          </w:p>
        </w:tc>
        <w:tc>
          <w:tcPr>
            <w:tcW w:w="0" w:type="auto"/>
          </w:tcPr>
          <w:p w:rsidR="00EF2AEE" w:rsidRPr="00C015D1" w:rsidRDefault="00EF2AEE" w:rsidP="003A2660">
            <w:pPr>
              <w:snapToGrid w:val="0"/>
              <w:jc w:val="both"/>
              <w:rPr>
                <w:rFonts w:eastAsia="標楷體"/>
                <w:sz w:val="28"/>
                <w:szCs w:val="28"/>
              </w:rPr>
            </w:pPr>
          </w:p>
        </w:tc>
        <w:tc>
          <w:tcPr>
            <w:tcW w:w="0" w:type="auto"/>
          </w:tcPr>
          <w:p w:rsidR="00EF2AEE" w:rsidRPr="00C015D1" w:rsidRDefault="00EF2AEE" w:rsidP="003A2660">
            <w:pPr>
              <w:snapToGrid w:val="0"/>
              <w:jc w:val="both"/>
              <w:rPr>
                <w:rFonts w:eastAsia="標楷體"/>
                <w:sz w:val="28"/>
                <w:szCs w:val="28"/>
              </w:rPr>
            </w:pPr>
          </w:p>
        </w:tc>
        <w:tc>
          <w:tcPr>
            <w:tcW w:w="0" w:type="auto"/>
            <w:vMerge/>
          </w:tcPr>
          <w:p w:rsidR="00EF2AEE" w:rsidRPr="00C015D1" w:rsidRDefault="00EF2AEE" w:rsidP="003A2660">
            <w:pPr>
              <w:snapToGrid w:val="0"/>
              <w:jc w:val="both"/>
              <w:rPr>
                <w:rFonts w:eastAsia="標楷體"/>
                <w:sz w:val="28"/>
                <w:szCs w:val="28"/>
              </w:rPr>
            </w:pPr>
          </w:p>
        </w:tc>
      </w:tr>
      <w:tr w:rsidR="00EF2AEE" w:rsidRPr="00C015D1" w:rsidTr="003A2660">
        <w:trPr>
          <w:trHeight w:val="562"/>
          <w:jc w:val="center"/>
        </w:trPr>
        <w:tc>
          <w:tcPr>
            <w:tcW w:w="0" w:type="auto"/>
          </w:tcPr>
          <w:p w:rsidR="00EF2AEE" w:rsidRPr="00C015D1" w:rsidRDefault="00EF2AEE" w:rsidP="003A2660">
            <w:pPr>
              <w:snapToGrid w:val="0"/>
              <w:jc w:val="center"/>
              <w:rPr>
                <w:rFonts w:eastAsia="標楷體"/>
              </w:rPr>
            </w:pPr>
            <w:r w:rsidRPr="00C015D1">
              <w:rPr>
                <w:rFonts w:eastAsia="標楷體"/>
              </w:rPr>
              <w:t>六</w:t>
            </w:r>
          </w:p>
        </w:tc>
        <w:tc>
          <w:tcPr>
            <w:tcW w:w="0" w:type="auto"/>
          </w:tcPr>
          <w:p w:rsidR="00EF2AEE" w:rsidRPr="00C015D1" w:rsidRDefault="00EF2AEE" w:rsidP="003A2660">
            <w:pPr>
              <w:tabs>
                <w:tab w:val="left" w:pos="539"/>
              </w:tabs>
              <w:snapToGrid w:val="0"/>
              <w:jc w:val="both"/>
              <w:rPr>
                <w:rFonts w:eastAsia="標楷體"/>
              </w:rPr>
            </w:pPr>
            <w:r w:rsidRPr="00C015D1">
              <w:rPr>
                <w:rFonts w:eastAsia="標楷體"/>
              </w:rPr>
              <w:t>最近一年執行各種資金運用作業內部控制處理程序無重大缺失，或缺失事項已改正並經主管機關認可。</w:t>
            </w:r>
          </w:p>
        </w:tc>
        <w:tc>
          <w:tcPr>
            <w:tcW w:w="0" w:type="auto"/>
          </w:tcPr>
          <w:p w:rsidR="00EF2AEE" w:rsidRPr="00C015D1" w:rsidRDefault="00EF2AEE" w:rsidP="003A2660">
            <w:pPr>
              <w:snapToGrid w:val="0"/>
              <w:jc w:val="center"/>
              <w:rPr>
                <w:rFonts w:eastAsia="標楷體"/>
                <w:sz w:val="28"/>
                <w:szCs w:val="28"/>
              </w:rPr>
            </w:pPr>
          </w:p>
        </w:tc>
        <w:tc>
          <w:tcPr>
            <w:tcW w:w="0" w:type="auto"/>
          </w:tcPr>
          <w:p w:rsidR="00EF2AEE" w:rsidRPr="00C015D1" w:rsidRDefault="00EF2AEE" w:rsidP="003A2660">
            <w:pPr>
              <w:snapToGrid w:val="0"/>
              <w:jc w:val="both"/>
              <w:rPr>
                <w:rFonts w:eastAsia="標楷體"/>
                <w:sz w:val="28"/>
                <w:szCs w:val="28"/>
              </w:rPr>
            </w:pPr>
          </w:p>
        </w:tc>
        <w:tc>
          <w:tcPr>
            <w:tcW w:w="0" w:type="auto"/>
          </w:tcPr>
          <w:p w:rsidR="00EF2AEE" w:rsidRPr="00C015D1" w:rsidRDefault="00EF2AEE" w:rsidP="003A2660">
            <w:pPr>
              <w:snapToGrid w:val="0"/>
              <w:jc w:val="both"/>
              <w:rPr>
                <w:rFonts w:eastAsia="標楷體"/>
                <w:sz w:val="28"/>
                <w:szCs w:val="28"/>
              </w:rPr>
            </w:pPr>
          </w:p>
        </w:tc>
        <w:tc>
          <w:tcPr>
            <w:tcW w:w="0" w:type="auto"/>
            <w:vMerge/>
          </w:tcPr>
          <w:p w:rsidR="00EF2AEE" w:rsidRPr="00C015D1" w:rsidRDefault="00EF2AEE" w:rsidP="003A2660">
            <w:pPr>
              <w:snapToGrid w:val="0"/>
              <w:jc w:val="both"/>
              <w:rPr>
                <w:rFonts w:eastAsia="標楷體"/>
                <w:sz w:val="28"/>
                <w:szCs w:val="28"/>
              </w:rPr>
            </w:pPr>
          </w:p>
        </w:tc>
      </w:tr>
      <w:tr w:rsidR="00EF2AEE" w:rsidRPr="00C015D1" w:rsidTr="003A2660">
        <w:trPr>
          <w:trHeight w:val="562"/>
          <w:jc w:val="center"/>
        </w:trPr>
        <w:tc>
          <w:tcPr>
            <w:tcW w:w="0" w:type="auto"/>
          </w:tcPr>
          <w:p w:rsidR="00EF2AEE" w:rsidRPr="00C015D1" w:rsidRDefault="00EF2AEE" w:rsidP="003A2660">
            <w:pPr>
              <w:snapToGrid w:val="0"/>
              <w:jc w:val="center"/>
              <w:rPr>
                <w:rFonts w:eastAsia="標楷體"/>
              </w:rPr>
            </w:pPr>
            <w:r w:rsidRPr="00C015D1">
              <w:rPr>
                <w:rFonts w:eastAsia="標楷體"/>
              </w:rPr>
              <w:t>七</w:t>
            </w:r>
          </w:p>
        </w:tc>
        <w:tc>
          <w:tcPr>
            <w:tcW w:w="0" w:type="auto"/>
          </w:tcPr>
          <w:p w:rsidR="00EF2AEE" w:rsidRPr="00C015D1" w:rsidRDefault="00EF2AEE" w:rsidP="00EF2AEE">
            <w:pPr>
              <w:numPr>
                <w:ilvl w:val="0"/>
                <w:numId w:val="1"/>
              </w:numPr>
              <w:snapToGrid w:val="0"/>
              <w:jc w:val="both"/>
              <w:rPr>
                <w:rFonts w:eastAsia="標楷體"/>
              </w:rPr>
            </w:pPr>
            <w:r w:rsidRPr="00C015D1">
              <w:rPr>
                <w:rFonts w:eastAsia="標楷體"/>
              </w:rPr>
              <w:t>簽證精算人員或專業投資人員對整體資產負債配置所提具體意見具合適可行性，並分析與上一次所提意見之差異及原因</w:t>
            </w:r>
            <w:r w:rsidRPr="00C015D1">
              <w:rPr>
                <w:rFonts w:eastAsia="標楷體"/>
              </w:rPr>
              <w:t>(</w:t>
            </w:r>
            <w:proofErr w:type="gramStart"/>
            <w:r w:rsidRPr="00C015D1">
              <w:rPr>
                <w:rFonts w:eastAsia="標楷體"/>
              </w:rPr>
              <w:t>附精算</w:t>
            </w:r>
            <w:proofErr w:type="gramEnd"/>
            <w:r w:rsidRPr="00C015D1">
              <w:rPr>
                <w:rFonts w:eastAsia="標楷體"/>
              </w:rPr>
              <w:t>評估報告</w:t>
            </w:r>
            <w:r w:rsidRPr="00C015D1">
              <w:rPr>
                <w:rFonts w:eastAsia="標楷體"/>
              </w:rPr>
              <w:t>)</w:t>
            </w:r>
            <w:r w:rsidRPr="00C015D1">
              <w:rPr>
                <w:rFonts w:eastAsia="標楷體"/>
              </w:rPr>
              <w:t>。</w:t>
            </w:r>
          </w:p>
          <w:p w:rsidR="00EF2AEE" w:rsidRPr="00C015D1" w:rsidRDefault="00EF2AEE" w:rsidP="00EF2AEE">
            <w:pPr>
              <w:numPr>
                <w:ilvl w:val="0"/>
                <w:numId w:val="1"/>
              </w:numPr>
              <w:snapToGrid w:val="0"/>
              <w:jc w:val="both"/>
              <w:rPr>
                <w:rFonts w:eastAsia="標楷體"/>
              </w:rPr>
            </w:pPr>
            <w:r w:rsidRPr="00C015D1">
              <w:rPr>
                <w:rFonts w:eastAsia="標楷體"/>
              </w:rPr>
              <w:t>最近一年外部專業投資機構</w:t>
            </w:r>
            <w:r w:rsidRPr="00C015D1">
              <w:rPr>
                <w:rFonts w:eastAsia="標楷體"/>
              </w:rPr>
              <w:t>(</w:t>
            </w:r>
            <w:r w:rsidRPr="00C015D1">
              <w:rPr>
                <w:rFonts w:eastAsia="標楷體"/>
              </w:rPr>
              <w:t>或內部專業投資人員</w:t>
            </w:r>
            <w:r w:rsidRPr="00C015D1">
              <w:rPr>
                <w:rFonts w:eastAsia="標楷體"/>
              </w:rPr>
              <w:t>)</w:t>
            </w:r>
            <w:r w:rsidRPr="00C015D1">
              <w:rPr>
                <w:rFonts w:eastAsia="標楷體"/>
              </w:rPr>
              <w:t>對國外投資整體風險所提具體意見具可行性</w:t>
            </w:r>
            <w:r w:rsidRPr="00C015D1">
              <w:rPr>
                <w:rFonts w:eastAsia="標楷體"/>
              </w:rPr>
              <w:t>(</w:t>
            </w:r>
            <w:r w:rsidRPr="00C015D1">
              <w:rPr>
                <w:rFonts w:eastAsia="標楷體"/>
              </w:rPr>
              <w:t>附國外投資評估報告</w:t>
            </w:r>
            <w:r w:rsidRPr="00C015D1">
              <w:rPr>
                <w:rFonts w:eastAsia="標楷體"/>
              </w:rPr>
              <w:t>)</w:t>
            </w:r>
            <w:r w:rsidRPr="00C015D1">
              <w:rPr>
                <w:rFonts w:eastAsia="標楷體"/>
              </w:rPr>
              <w:t>。</w:t>
            </w:r>
          </w:p>
          <w:p w:rsidR="00EF2AEE" w:rsidRPr="00C015D1" w:rsidRDefault="00EF2AEE" w:rsidP="00EF2AEE">
            <w:pPr>
              <w:numPr>
                <w:ilvl w:val="0"/>
                <w:numId w:val="1"/>
              </w:numPr>
              <w:snapToGrid w:val="0"/>
              <w:jc w:val="both"/>
              <w:rPr>
                <w:rFonts w:eastAsia="標楷體"/>
              </w:rPr>
            </w:pPr>
            <w:r w:rsidRPr="00C015D1">
              <w:rPr>
                <w:rFonts w:eastAsia="標楷體"/>
              </w:rPr>
              <w:t>董事會最近一年有逐次追蹤檢討國外投資配置、績效、策略、風險承受程度及整體風險管理政策與制度</w:t>
            </w:r>
            <w:r w:rsidRPr="00C015D1">
              <w:rPr>
                <w:rFonts w:eastAsia="標楷體"/>
              </w:rPr>
              <w:t>(</w:t>
            </w:r>
            <w:proofErr w:type="gramStart"/>
            <w:r w:rsidRPr="00C015D1">
              <w:rPr>
                <w:rFonts w:eastAsia="標楷體"/>
              </w:rPr>
              <w:t>附議事錄</w:t>
            </w:r>
            <w:proofErr w:type="gramEnd"/>
            <w:r w:rsidRPr="00C015D1">
              <w:rPr>
                <w:rFonts w:eastAsia="標楷體"/>
              </w:rPr>
              <w:t>)</w:t>
            </w:r>
            <w:r w:rsidRPr="00C015D1">
              <w:rPr>
                <w:rFonts w:eastAsia="標楷體"/>
              </w:rPr>
              <w:t>。</w:t>
            </w:r>
          </w:p>
          <w:p w:rsidR="00EF2AEE" w:rsidRPr="00C015D1" w:rsidRDefault="00EF2AEE" w:rsidP="00EF2AEE">
            <w:pPr>
              <w:numPr>
                <w:ilvl w:val="0"/>
                <w:numId w:val="1"/>
              </w:numPr>
              <w:snapToGrid w:val="0"/>
              <w:jc w:val="both"/>
              <w:rPr>
                <w:rFonts w:eastAsia="標楷體"/>
              </w:rPr>
            </w:pPr>
            <w:r w:rsidRPr="00C015D1">
              <w:rPr>
                <w:rFonts w:eastAsia="標楷體"/>
              </w:rPr>
              <w:t>稽核單位及法令遵循單位最近一年已定期及不定期查核投資執行單位、投資風險管理單位及資產保全單位之作業，並出具報告</w:t>
            </w:r>
            <w:r w:rsidRPr="00C015D1">
              <w:rPr>
                <w:rFonts w:eastAsia="標楷體"/>
              </w:rPr>
              <w:t>(</w:t>
            </w:r>
            <w:r w:rsidRPr="00C015D1">
              <w:rPr>
                <w:rFonts w:eastAsia="標楷體"/>
              </w:rPr>
              <w:t>附查核報告</w:t>
            </w:r>
            <w:r w:rsidRPr="00C015D1">
              <w:rPr>
                <w:rFonts w:eastAsia="標楷體"/>
              </w:rPr>
              <w:t>)</w:t>
            </w:r>
            <w:r w:rsidRPr="00C015D1">
              <w:rPr>
                <w:rFonts w:eastAsia="標楷體"/>
              </w:rPr>
              <w:t>。</w:t>
            </w:r>
            <w:r w:rsidRPr="00C015D1">
              <w:rPr>
                <w:rFonts w:eastAsia="標楷體"/>
              </w:rPr>
              <w:t xml:space="preserve"> </w:t>
            </w:r>
          </w:p>
        </w:tc>
        <w:tc>
          <w:tcPr>
            <w:tcW w:w="0" w:type="auto"/>
          </w:tcPr>
          <w:p w:rsidR="00EF2AEE" w:rsidRPr="00C015D1" w:rsidRDefault="00EF2AEE" w:rsidP="003A2660">
            <w:pPr>
              <w:snapToGrid w:val="0"/>
              <w:jc w:val="center"/>
              <w:rPr>
                <w:rFonts w:eastAsia="標楷體"/>
                <w:sz w:val="28"/>
                <w:szCs w:val="28"/>
              </w:rPr>
            </w:pPr>
          </w:p>
        </w:tc>
        <w:tc>
          <w:tcPr>
            <w:tcW w:w="0" w:type="auto"/>
          </w:tcPr>
          <w:p w:rsidR="00EF2AEE" w:rsidRPr="00C015D1" w:rsidRDefault="00EF2AEE" w:rsidP="003A2660">
            <w:pPr>
              <w:snapToGrid w:val="0"/>
              <w:jc w:val="both"/>
              <w:rPr>
                <w:rFonts w:eastAsia="標楷體"/>
                <w:sz w:val="28"/>
                <w:szCs w:val="28"/>
              </w:rPr>
            </w:pPr>
          </w:p>
        </w:tc>
        <w:tc>
          <w:tcPr>
            <w:tcW w:w="0" w:type="auto"/>
          </w:tcPr>
          <w:p w:rsidR="00EF2AEE" w:rsidRPr="00C015D1" w:rsidRDefault="00EF2AEE" w:rsidP="003A2660">
            <w:pPr>
              <w:snapToGrid w:val="0"/>
              <w:jc w:val="both"/>
              <w:rPr>
                <w:rFonts w:eastAsia="標楷體"/>
                <w:sz w:val="28"/>
                <w:szCs w:val="28"/>
              </w:rPr>
            </w:pPr>
          </w:p>
        </w:tc>
        <w:tc>
          <w:tcPr>
            <w:tcW w:w="0" w:type="auto"/>
            <w:vMerge/>
          </w:tcPr>
          <w:p w:rsidR="00EF2AEE" w:rsidRPr="00C015D1" w:rsidRDefault="00EF2AEE" w:rsidP="003A2660">
            <w:pPr>
              <w:snapToGrid w:val="0"/>
              <w:jc w:val="both"/>
              <w:rPr>
                <w:rFonts w:eastAsia="標楷體"/>
                <w:sz w:val="28"/>
                <w:szCs w:val="28"/>
              </w:rPr>
            </w:pPr>
          </w:p>
        </w:tc>
      </w:tr>
      <w:tr w:rsidR="00EF2AEE" w:rsidRPr="00C015D1" w:rsidTr="003A2660">
        <w:trPr>
          <w:trHeight w:val="562"/>
          <w:jc w:val="center"/>
        </w:trPr>
        <w:tc>
          <w:tcPr>
            <w:tcW w:w="0" w:type="auto"/>
          </w:tcPr>
          <w:p w:rsidR="00EF2AEE" w:rsidRPr="00C015D1" w:rsidRDefault="00EF2AEE" w:rsidP="003A2660">
            <w:pPr>
              <w:snapToGrid w:val="0"/>
              <w:jc w:val="center"/>
              <w:rPr>
                <w:rFonts w:eastAsia="標楷體"/>
              </w:rPr>
            </w:pPr>
            <w:r w:rsidRPr="00C015D1">
              <w:rPr>
                <w:rFonts w:eastAsia="標楷體"/>
              </w:rPr>
              <w:t>八</w:t>
            </w:r>
          </w:p>
        </w:tc>
        <w:tc>
          <w:tcPr>
            <w:tcW w:w="0" w:type="auto"/>
          </w:tcPr>
          <w:p w:rsidR="00EF2AEE" w:rsidRPr="00C015D1" w:rsidRDefault="00EF2AEE" w:rsidP="003A2660">
            <w:pPr>
              <w:snapToGrid w:val="0"/>
              <w:jc w:val="both"/>
              <w:rPr>
                <w:rFonts w:eastAsia="標楷體"/>
              </w:rPr>
            </w:pPr>
            <w:r w:rsidRPr="00C015D1">
              <w:rPr>
                <w:rFonts w:eastAsia="標楷體"/>
              </w:rPr>
              <w:t>公司投資手冊已明定並確實履行整體風險管理政策、制度及決策層級，得以辨識、衡量</w:t>
            </w:r>
            <w:r w:rsidRPr="00C015D1">
              <w:rPr>
                <w:rFonts w:eastAsia="標楷體"/>
              </w:rPr>
              <w:t>(</w:t>
            </w:r>
            <w:r w:rsidRPr="00C015D1">
              <w:rPr>
                <w:rFonts w:eastAsia="標楷體"/>
              </w:rPr>
              <w:t>含量化方法</w:t>
            </w:r>
            <w:r w:rsidRPr="00C015D1">
              <w:rPr>
                <w:rFonts w:eastAsia="標楷體"/>
              </w:rPr>
              <w:t>)</w:t>
            </w:r>
            <w:r w:rsidRPr="00C015D1">
              <w:rPr>
                <w:rFonts w:eastAsia="標楷體"/>
              </w:rPr>
              <w:t>、回應及監控可能影響清償能力之投資風險，其包</w:t>
            </w:r>
            <w:r w:rsidRPr="006B060E">
              <w:rPr>
                <w:rFonts w:eastAsia="標楷體" w:hint="eastAsia"/>
                <w:lang w:eastAsia="zh-HK"/>
              </w:rPr>
              <w:t>括</w:t>
            </w:r>
            <w:r w:rsidRPr="00C015D1">
              <w:rPr>
                <w:rFonts w:eastAsia="標楷體"/>
              </w:rPr>
              <w:t>：（附公司完整投資手冊）</w:t>
            </w:r>
          </w:p>
          <w:p w:rsidR="00EF2AEE" w:rsidRPr="00C015D1" w:rsidRDefault="00EF2AEE" w:rsidP="00EF2AEE">
            <w:pPr>
              <w:numPr>
                <w:ilvl w:val="0"/>
                <w:numId w:val="6"/>
              </w:numPr>
              <w:tabs>
                <w:tab w:val="left" w:pos="539"/>
              </w:tabs>
              <w:snapToGrid w:val="0"/>
              <w:jc w:val="both"/>
              <w:rPr>
                <w:rFonts w:eastAsia="標楷體"/>
              </w:rPr>
            </w:pPr>
            <w:r w:rsidRPr="00C015D1">
              <w:rPr>
                <w:rFonts w:eastAsia="標楷體"/>
              </w:rPr>
              <w:t>市場風險</w:t>
            </w:r>
            <w:r w:rsidRPr="00C015D1">
              <w:rPr>
                <w:rFonts w:eastAsia="標楷體"/>
              </w:rPr>
              <w:t>(</w:t>
            </w:r>
            <w:r w:rsidRPr="00C015D1">
              <w:rPr>
                <w:rFonts w:eastAsia="標楷體"/>
              </w:rPr>
              <w:t>如市場利率、匯率、股價及商品價格之不利變動</w:t>
            </w:r>
            <w:r w:rsidRPr="00C015D1">
              <w:rPr>
                <w:rFonts w:eastAsia="標楷體"/>
              </w:rPr>
              <w:t>)</w:t>
            </w:r>
            <w:r w:rsidRPr="00C015D1">
              <w:rPr>
                <w:rFonts w:eastAsia="標楷體"/>
              </w:rPr>
              <w:t>。</w:t>
            </w:r>
          </w:p>
          <w:p w:rsidR="00EF2AEE" w:rsidRPr="00C015D1" w:rsidRDefault="00EF2AEE" w:rsidP="00EF2AEE">
            <w:pPr>
              <w:numPr>
                <w:ilvl w:val="0"/>
                <w:numId w:val="6"/>
              </w:numPr>
              <w:tabs>
                <w:tab w:val="left" w:pos="539"/>
              </w:tabs>
              <w:snapToGrid w:val="0"/>
              <w:jc w:val="both"/>
              <w:rPr>
                <w:rFonts w:eastAsia="標楷體"/>
              </w:rPr>
            </w:pPr>
            <w:r w:rsidRPr="00C015D1">
              <w:rPr>
                <w:rFonts w:eastAsia="標楷體"/>
              </w:rPr>
              <w:t>信用風險。</w:t>
            </w:r>
          </w:p>
          <w:p w:rsidR="00EF2AEE" w:rsidRPr="00C015D1" w:rsidRDefault="00EF2AEE" w:rsidP="00EF2AEE">
            <w:pPr>
              <w:numPr>
                <w:ilvl w:val="0"/>
                <w:numId w:val="6"/>
              </w:numPr>
              <w:tabs>
                <w:tab w:val="left" w:pos="539"/>
              </w:tabs>
              <w:snapToGrid w:val="0"/>
              <w:jc w:val="both"/>
              <w:rPr>
                <w:rFonts w:eastAsia="標楷體"/>
              </w:rPr>
            </w:pPr>
            <w:r w:rsidRPr="00C015D1">
              <w:rPr>
                <w:rFonts w:eastAsia="標楷體"/>
              </w:rPr>
              <w:t>流動性風險。</w:t>
            </w:r>
          </w:p>
          <w:p w:rsidR="00EF2AEE" w:rsidRPr="00C015D1" w:rsidRDefault="00EF2AEE" w:rsidP="00EF2AEE">
            <w:pPr>
              <w:numPr>
                <w:ilvl w:val="0"/>
                <w:numId w:val="6"/>
              </w:numPr>
              <w:tabs>
                <w:tab w:val="left" w:pos="539"/>
              </w:tabs>
              <w:snapToGrid w:val="0"/>
              <w:jc w:val="both"/>
              <w:rPr>
                <w:rFonts w:eastAsia="標楷體"/>
              </w:rPr>
            </w:pPr>
            <w:r w:rsidRPr="00C015D1">
              <w:rPr>
                <w:rFonts w:eastAsia="標楷體"/>
              </w:rPr>
              <w:t>作業風險</w:t>
            </w:r>
            <w:r w:rsidRPr="00C015D1">
              <w:rPr>
                <w:rFonts w:eastAsia="標楷體"/>
              </w:rPr>
              <w:t>(</w:t>
            </w:r>
            <w:r w:rsidRPr="00C015D1">
              <w:rPr>
                <w:rFonts w:eastAsia="標楷體"/>
              </w:rPr>
              <w:t>含法律風險</w:t>
            </w:r>
            <w:r w:rsidRPr="00C015D1">
              <w:rPr>
                <w:rFonts w:eastAsia="標楷體"/>
              </w:rPr>
              <w:t>)</w:t>
            </w:r>
            <w:r w:rsidRPr="00C015D1">
              <w:rPr>
                <w:rFonts w:eastAsia="標楷體"/>
              </w:rPr>
              <w:t>。</w:t>
            </w:r>
          </w:p>
          <w:p w:rsidR="00EF2AEE" w:rsidRPr="00C015D1" w:rsidRDefault="00EF2AEE" w:rsidP="00EF2AEE">
            <w:pPr>
              <w:numPr>
                <w:ilvl w:val="0"/>
                <w:numId w:val="6"/>
              </w:numPr>
              <w:tabs>
                <w:tab w:val="left" w:pos="539"/>
              </w:tabs>
              <w:snapToGrid w:val="0"/>
              <w:jc w:val="both"/>
              <w:rPr>
                <w:rFonts w:eastAsia="標楷體"/>
              </w:rPr>
            </w:pPr>
            <w:r w:rsidRPr="00C015D1">
              <w:rPr>
                <w:rFonts w:eastAsia="標楷體"/>
              </w:rPr>
              <w:t>資產負債配合風險。</w:t>
            </w:r>
          </w:p>
          <w:p w:rsidR="00EF2AEE" w:rsidRPr="00C015D1" w:rsidRDefault="00EF2AEE" w:rsidP="00EF2AEE">
            <w:pPr>
              <w:numPr>
                <w:ilvl w:val="0"/>
                <w:numId w:val="6"/>
              </w:numPr>
              <w:tabs>
                <w:tab w:val="left" w:pos="539"/>
              </w:tabs>
              <w:snapToGrid w:val="0"/>
              <w:jc w:val="both"/>
              <w:rPr>
                <w:rFonts w:eastAsia="標楷體"/>
              </w:rPr>
            </w:pPr>
            <w:r w:rsidRPr="00C015D1">
              <w:rPr>
                <w:rFonts w:eastAsia="標楷體"/>
              </w:rPr>
              <w:t>資產保全風險。</w:t>
            </w:r>
          </w:p>
        </w:tc>
        <w:tc>
          <w:tcPr>
            <w:tcW w:w="0" w:type="auto"/>
          </w:tcPr>
          <w:p w:rsidR="00EF2AEE" w:rsidRPr="00C015D1" w:rsidRDefault="00EF2AEE" w:rsidP="003A2660">
            <w:pPr>
              <w:snapToGrid w:val="0"/>
              <w:jc w:val="center"/>
              <w:rPr>
                <w:rFonts w:eastAsia="標楷體"/>
                <w:sz w:val="28"/>
                <w:szCs w:val="28"/>
              </w:rPr>
            </w:pPr>
          </w:p>
        </w:tc>
        <w:tc>
          <w:tcPr>
            <w:tcW w:w="0" w:type="auto"/>
          </w:tcPr>
          <w:p w:rsidR="00EF2AEE" w:rsidRPr="00C015D1" w:rsidRDefault="00EF2AEE" w:rsidP="003A2660">
            <w:pPr>
              <w:snapToGrid w:val="0"/>
              <w:jc w:val="both"/>
              <w:rPr>
                <w:rFonts w:eastAsia="標楷體"/>
                <w:sz w:val="28"/>
                <w:szCs w:val="28"/>
              </w:rPr>
            </w:pPr>
          </w:p>
        </w:tc>
        <w:tc>
          <w:tcPr>
            <w:tcW w:w="0" w:type="auto"/>
          </w:tcPr>
          <w:p w:rsidR="00EF2AEE" w:rsidRPr="00C015D1" w:rsidRDefault="00EF2AEE" w:rsidP="003A2660">
            <w:pPr>
              <w:snapToGrid w:val="0"/>
              <w:jc w:val="both"/>
              <w:rPr>
                <w:rFonts w:eastAsia="標楷體"/>
                <w:sz w:val="28"/>
                <w:szCs w:val="28"/>
              </w:rPr>
            </w:pPr>
          </w:p>
        </w:tc>
        <w:tc>
          <w:tcPr>
            <w:tcW w:w="0" w:type="auto"/>
            <w:vMerge/>
          </w:tcPr>
          <w:p w:rsidR="00EF2AEE" w:rsidRPr="00C015D1" w:rsidRDefault="00EF2AEE" w:rsidP="003A2660">
            <w:pPr>
              <w:snapToGrid w:val="0"/>
              <w:jc w:val="both"/>
              <w:rPr>
                <w:rFonts w:eastAsia="標楷體"/>
                <w:sz w:val="28"/>
                <w:szCs w:val="28"/>
              </w:rPr>
            </w:pPr>
          </w:p>
        </w:tc>
      </w:tr>
      <w:tr w:rsidR="00EF2AEE" w:rsidRPr="00C015D1" w:rsidTr="003A2660">
        <w:trPr>
          <w:trHeight w:val="274"/>
          <w:jc w:val="center"/>
        </w:trPr>
        <w:tc>
          <w:tcPr>
            <w:tcW w:w="0" w:type="auto"/>
          </w:tcPr>
          <w:p w:rsidR="00EF2AEE" w:rsidRPr="00C015D1" w:rsidRDefault="00EF2AEE" w:rsidP="003A2660">
            <w:pPr>
              <w:snapToGrid w:val="0"/>
              <w:jc w:val="center"/>
              <w:rPr>
                <w:rFonts w:eastAsia="標楷體"/>
              </w:rPr>
            </w:pPr>
            <w:r w:rsidRPr="00C015D1">
              <w:rPr>
                <w:rFonts w:eastAsia="標楷體"/>
              </w:rPr>
              <w:lastRenderedPageBreak/>
              <w:t>九</w:t>
            </w:r>
          </w:p>
        </w:tc>
        <w:tc>
          <w:tcPr>
            <w:tcW w:w="0" w:type="auto"/>
          </w:tcPr>
          <w:p w:rsidR="00EF2AEE" w:rsidRPr="00C015D1" w:rsidRDefault="00EF2AEE" w:rsidP="003A2660">
            <w:pPr>
              <w:tabs>
                <w:tab w:val="left" w:pos="539"/>
              </w:tabs>
              <w:snapToGrid w:val="0"/>
              <w:jc w:val="both"/>
              <w:rPr>
                <w:rFonts w:eastAsia="標楷體"/>
              </w:rPr>
            </w:pPr>
            <w:r w:rsidRPr="00C015D1">
              <w:rPr>
                <w:rFonts w:eastAsia="標楷體"/>
              </w:rPr>
              <w:t>最近一年</w:t>
            </w:r>
            <w:r w:rsidRPr="003E0FDA">
              <w:rPr>
                <w:rFonts w:eastAsia="標楷體" w:hint="eastAsia"/>
              </w:rPr>
              <w:t>資金運用</w:t>
            </w:r>
            <w:r w:rsidRPr="00C015D1">
              <w:rPr>
                <w:rFonts w:eastAsia="標楷體"/>
              </w:rPr>
              <w:t>無受主管機關重大</w:t>
            </w:r>
            <w:r w:rsidRPr="00E40121">
              <w:rPr>
                <w:rFonts w:eastAsia="標楷體" w:hint="eastAsia"/>
                <w:color w:val="FF0000"/>
                <w:u w:val="single"/>
              </w:rPr>
              <w:t>裁罰及</w:t>
            </w:r>
            <w:r w:rsidRPr="00C015D1">
              <w:rPr>
                <w:rFonts w:eastAsia="標楷體"/>
              </w:rPr>
              <w:t>處分，或違反情事已改正並經主管機關認可。</w:t>
            </w:r>
          </w:p>
        </w:tc>
        <w:tc>
          <w:tcPr>
            <w:tcW w:w="0" w:type="auto"/>
          </w:tcPr>
          <w:p w:rsidR="00EF2AEE" w:rsidRPr="00C015D1" w:rsidRDefault="00EF2AEE" w:rsidP="003A2660">
            <w:pPr>
              <w:snapToGrid w:val="0"/>
              <w:jc w:val="center"/>
              <w:rPr>
                <w:rFonts w:eastAsia="標楷體"/>
                <w:sz w:val="28"/>
                <w:szCs w:val="28"/>
              </w:rPr>
            </w:pPr>
          </w:p>
        </w:tc>
        <w:tc>
          <w:tcPr>
            <w:tcW w:w="0" w:type="auto"/>
          </w:tcPr>
          <w:p w:rsidR="00EF2AEE" w:rsidRPr="00C015D1" w:rsidRDefault="00EF2AEE" w:rsidP="003A2660">
            <w:pPr>
              <w:snapToGrid w:val="0"/>
              <w:jc w:val="both"/>
              <w:rPr>
                <w:rFonts w:eastAsia="標楷體"/>
                <w:sz w:val="28"/>
                <w:szCs w:val="28"/>
              </w:rPr>
            </w:pPr>
          </w:p>
        </w:tc>
        <w:tc>
          <w:tcPr>
            <w:tcW w:w="0" w:type="auto"/>
          </w:tcPr>
          <w:p w:rsidR="00EF2AEE" w:rsidRPr="00C015D1" w:rsidRDefault="00EF2AEE" w:rsidP="003A2660">
            <w:pPr>
              <w:snapToGrid w:val="0"/>
              <w:jc w:val="both"/>
              <w:rPr>
                <w:rFonts w:eastAsia="標楷體"/>
                <w:sz w:val="28"/>
                <w:szCs w:val="28"/>
              </w:rPr>
            </w:pPr>
          </w:p>
        </w:tc>
        <w:tc>
          <w:tcPr>
            <w:tcW w:w="0" w:type="auto"/>
          </w:tcPr>
          <w:p w:rsidR="00EF2AEE" w:rsidRPr="00C015D1" w:rsidRDefault="00EF2AEE" w:rsidP="003A2660">
            <w:pPr>
              <w:snapToGrid w:val="0"/>
              <w:jc w:val="both"/>
              <w:rPr>
                <w:rFonts w:eastAsia="標楷體"/>
                <w:sz w:val="28"/>
                <w:szCs w:val="28"/>
              </w:rPr>
            </w:pPr>
            <w:r w:rsidRPr="00C015D1">
              <w:rPr>
                <w:rFonts w:eastAsia="標楷體"/>
              </w:rPr>
              <w:t>提高額度至</w:t>
            </w:r>
            <w:r w:rsidRPr="00C015D1">
              <w:rPr>
                <w:rFonts w:eastAsia="標楷體"/>
              </w:rPr>
              <w:t>30%</w:t>
            </w:r>
            <w:r w:rsidRPr="00C015D1">
              <w:rPr>
                <w:rFonts w:eastAsia="標楷體"/>
              </w:rPr>
              <w:t>以上者</w:t>
            </w:r>
          </w:p>
        </w:tc>
      </w:tr>
      <w:tr w:rsidR="00EF2AEE" w:rsidRPr="00C015D1" w:rsidTr="003A2660">
        <w:trPr>
          <w:trHeight w:val="565"/>
          <w:jc w:val="center"/>
        </w:trPr>
        <w:tc>
          <w:tcPr>
            <w:tcW w:w="0" w:type="auto"/>
          </w:tcPr>
          <w:p w:rsidR="00EF2AEE" w:rsidRPr="00C015D1" w:rsidRDefault="00EF2AEE" w:rsidP="003A2660">
            <w:pPr>
              <w:snapToGrid w:val="0"/>
              <w:jc w:val="center"/>
              <w:rPr>
                <w:rFonts w:eastAsia="標楷體"/>
              </w:rPr>
            </w:pPr>
            <w:r w:rsidRPr="00C015D1">
              <w:rPr>
                <w:rFonts w:eastAsia="標楷體"/>
              </w:rPr>
              <w:t>十</w:t>
            </w:r>
          </w:p>
        </w:tc>
        <w:tc>
          <w:tcPr>
            <w:tcW w:w="0" w:type="auto"/>
          </w:tcPr>
          <w:p w:rsidR="00EF2AEE" w:rsidRPr="00C015D1" w:rsidRDefault="00EF2AEE" w:rsidP="00EF2AEE">
            <w:pPr>
              <w:numPr>
                <w:ilvl w:val="0"/>
                <w:numId w:val="3"/>
              </w:numPr>
              <w:tabs>
                <w:tab w:val="left" w:pos="539"/>
              </w:tabs>
              <w:snapToGrid w:val="0"/>
              <w:jc w:val="both"/>
              <w:rPr>
                <w:rFonts w:eastAsia="標楷體"/>
              </w:rPr>
            </w:pPr>
            <w:r w:rsidRPr="00C015D1">
              <w:rPr>
                <w:rFonts w:eastAsia="標楷體"/>
              </w:rPr>
              <w:t>國外投資分類為</w:t>
            </w:r>
            <w:r w:rsidRPr="006B060E">
              <w:rPr>
                <w:rFonts w:eastAsia="標楷體"/>
              </w:rPr>
              <w:t>透過損益按公允價值衡量之金融資產及透過其他綜合損益按公允價值衡量之金融資產</w:t>
            </w:r>
            <w:r w:rsidRPr="00C015D1">
              <w:rPr>
                <w:rFonts w:eastAsia="標楷體"/>
              </w:rPr>
              <w:t>之部位已採用計算風險值評估風險，並每週至少</w:t>
            </w:r>
            <w:proofErr w:type="gramStart"/>
            <w:r w:rsidRPr="00C015D1">
              <w:rPr>
                <w:rFonts w:eastAsia="標楷體"/>
              </w:rPr>
              <w:t>控管乙次</w:t>
            </w:r>
            <w:proofErr w:type="gramEnd"/>
            <w:r w:rsidRPr="00C015D1">
              <w:rPr>
                <w:rFonts w:eastAsia="標楷體"/>
              </w:rPr>
              <w:t>。（附風險值評估表及最近三個月控管資料）</w:t>
            </w:r>
          </w:p>
          <w:p w:rsidR="00EF2AEE" w:rsidRPr="00C015D1" w:rsidRDefault="00EF2AEE" w:rsidP="00EF2AEE">
            <w:pPr>
              <w:numPr>
                <w:ilvl w:val="0"/>
                <w:numId w:val="3"/>
              </w:numPr>
              <w:tabs>
                <w:tab w:val="left" w:pos="539"/>
              </w:tabs>
              <w:snapToGrid w:val="0"/>
              <w:jc w:val="both"/>
              <w:rPr>
                <w:rFonts w:eastAsia="標楷體"/>
              </w:rPr>
            </w:pPr>
            <w:r w:rsidRPr="00C015D1">
              <w:rPr>
                <w:rFonts w:eastAsia="標楷體"/>
              </w:rPr>
              <w:t>國外投資分類為</w:t>
            </w:r>
            <w:proofErr w:type="gramStart"/>
            <w:r w:rsidRPr="006B060E">
              <w:rPr>
                <w:rFonts w:eastAsia="標楷體"/>
              </w:rPr>
              <w:t>按攤銷後</w:t>
            </w:r>
            <w:proofErr w:type="gramEnd"/>
            <w:r w:rsidRPr="006B060E">
              <w:rPr>
                <w:rFonts w:eastAsia="標楷體"/>
              </w:rPr>
              <w:t>成本衡量之金融資產</w:t>
            </w:r>
            <w:r w:rsidRPr="00C015D1">
              <w:rPr>
                <w:rFonts w:eastAsia="標楷體"/>
              </w:rPr>
              <w:t>之部位，已建置適當模型分析、辨識或量化其相關風險，並至少每半年向董事會報告風險評估情形。</w:t>
            </w:r>
            <w:r w:rsidRPr="00C015D1">
              <w:rPr>
                <w:rFonts w:eastAsia="標楷體"/>
              </w:rPr>
              <w:t>(</w:t>
            </w:r>
            <w:r w:rsidRPr="00C015D1">
              <w:rPr>
                <w:rFonts w:eastAsia="標楷體"/>
              </w:rPr>
              <w:t>至少應附模型建置、分析、辨識或量化相關風險之方法之說明及最近一年向董事會報告風險評估情形之議事錄</w:t>
            </w:r>
            <w:r w:rsidRPr="00C015D1">
              <w:rPr>
                <w:rFonts w:eastAsia="標楷體"/>
              </w:rPr>
              <w:t>)</w:t>
            </w:r>
          </w:p>
          <w:p w:rsidR="00EF2AEE" w:rsidRPr="00C015D1" w:rsidRDefault="00EF2AEE" w:rsidP="00EF2AEE">
            <w:pPr>
              <w:numPr>
                <w:ilvl w:val="0"/>
                <w:numId w:val="3"/>
              </w:numPr>
              <w:tabs>
                <w:tab w:val="left" w:pos="539"/>
              </w:tabs>
              <w:snapToGrid w:val="0"/>
              <w:jc w:val="both"/>
              <w:rPr>
                <w:rFonts w:eastAsia="標楷體"/>
              </w:rPr>
            </w:pPr>
            <w:r w:rsidRPr="00C015D1">
              <w:rPr>
                <w:rFonts w:eastAsia="標楷體"/>
              </w:rPr>
              <w:t>最近二年</w:t>
            </w:r>
            <w:r w:rsidRPr="00D26639">
              <w:rPr>
                <w:rFonts w:eastAsia="標楷體" w:hint="eastAsia"/>
              </w:rPr>
              <w:t>資金運用</w:t>
            </w:r>
            <w:r w:rsidRPr="00C015D1">
              <w:rPr>
                <w:rFonts w:eastAsia="標楷體"/>
              </w:rPr>
              <w:t>無受主管機關罰鍰處分情事，或違反情事已改正並經主管機關認可。</w:t>
            </w:r>
          </w:p>
          <w:p w:rsidR="00EF2AEE" w:rsidRPr="00C015D1" w:rsidRDefault="00EF2AEE" w:rsidP="00EF2AEE">
            <w:pPr>
              <w:numPr>
                <w:ilvl w:val="0"/>
                <w:numId w:val="3"/>
              </w:numPr>
              <w:tabs>
                <w:tab w:val="left" w:pos="539"/>
              </w:tabs>
              <w:snapToGrid w:val="0"/>
              <w:jc w:val="both"/>
              <w:rPr>
                <w:rFonts w:eastAsia="標楷體"/>
              </w:rPr>
            </w:pPr>
            <w:r w:rsidRPr="00C015D1">
              <w:rPr>
                <w:rFonts w:eastAsia="標楷體"/>
              </w:rPr>
              <w:t>董事會下設風險管理委員會且於公司內部設風險管理部門及</w:t>
            </w:r>
            <w:proofErr w:type="gramStart"/>
            <w:r w:rsidRPr="00C015D1">
              <w:rPr>
                <w:rFonts w:eastAsia="標楷體"/>
              </w:rPr>
              <w:t>置風控長</w:t>
            </w:r>
            <w:proofErr w:type="gramEnd"/>
            <w:r w:rsidRPr="00C015D1">
              <w:rPr>
                <w:rFonts w:eastAsia="標楷體"/>
              </w:rPr>
              <w:t>一人，並實際負責公司整體風險控管，其風險控管範圍至少應包括國外投資所衍生相關風險之評估及控管與所衍生風險對於保險業清償能力之影響。（附公司組織圖及最近三個月相關風險控管資料）</w:t>
            </w:r>
          </w:p>
        </w:tc>
        <w:tc>
          <w:tcPr>
            <w:tcW w:w="0" w:type="auto"/>
          </w:tcPr>
          <w:p w:rsidR="00EF2AEE" w:rsidRPr="00C015D1" w:rsidRDefault="00EF2AEE" w:rsidP="003A2660">
            <w:pPr>
              <w:snapToGrid w:val="0"/>
              <w:jc w:val="center"/>
              <w:rPr>
                <w:rFonts w:eastAsia="標楷體"/>
                <w:sz w:val="28"/>
                <w:szCs w:val="28"/>
              </w:rPr>
            </w:pPr>
          </w:p>
        </w:tc>
        <w:tc>
          <w:tcPr>
            <w:tcW w:w="0" w:type="auto"/>
          </w:tcPr>
          <w:p w:rsidR="00EF2AEE" w:rsidRPr="00C015D1" w:rsidRDefault="00EF2AEE" w:rsidP="003A2660">
            <w:pPr>
              <w:snapToGrid w:val="0"/>
              <w:jc w:val="both"/>
              <w:rPr>
                <w:rFonts w:eastAsia="標楷體"/>
                <w:sz w:val="28"/>
                <w:szCs w:val="28"/>
              </w:rPr>
            </w:pPr>
          </w:p>
        </w:tc>
        <w:tc>
          <w:tcPr>
            <w:tcW w:w="0" w:type="auto"/>
          </w:tcPr>
          <w:p w:rsidR="00EF2AEE" w:rsidRPr="00C015D1" w:rsidRDefault="00EF2AEE" w:rsidP="003A2660">
            <w:pPr>
              <w:snapToGrid w:val="0"/>
              <w:jc w:val="both"/>
              <w:rPr>
                <w:rFonts w:eastAsia="標楷體"/>
                <w:sz w:val="28"/>
                <w:szCs w:val="28"/>
              </w:rPr>
            </w:pPr>
          </w:p>
        </w:tc>
        <w:tc>
          <w:tcPr>
            <w:tcW w:w="0" w:type="auto"/>
          </w:tcPr>
          <w:p w:rsidR="00EF2AEE" w:rsidRPr="00C015D1" w:rsidRDefault="00EF2AEE" w:rsidP="003A2660">
            <w:pPr>
              <w:snapToGrid w:val="0"/>
              <w:jc w:val="both"/>
              <w:rPr>
                <w:rFonts w:eastAsia="標楷體"/>
                <w:sz w:val="28"/>
                <w:szCs w:val="28"/>
              </w:rPr>
            </w:pPr>
            <w:r w:rsidRPr="00C015D1">
              <w:rPr>
                <w:rFonts w:eastAsia="標楷體"/>
              </w:rPr>
              <w:t>提高額度至</w:t>
            </w:r>
            <w:r w:rsidRPr="00C015D1">
              <w:rPr>
                <w:rFonts w:eastAsia="標楷體"/>
              </w:rPr>
              <w:t>35%</w:t>
            </w:r>
            <w:r w:rsidRPr="00C015D1">
              <w:rPr>
                <w:rFonts w:eastAsia="標楷體"/>
              </w:rPr>
              <w:t>以上者</w:t>
            </w:r>
          </w:p>
        </w:tc>
      </w:tr>
      <w:tr w:rsidR="00EF2AEE" w:rsidRPr="00C015D1" w:rsidTr="003A2660">
        <w:trPr>
          <w:trHeight w:val="268"/>
          <w:jc w:val="center"/>
        </w:trPr>
        <w:tc>
          <w:tcPr>
            <w:tcW w:w="0" w:type="auto"/>
          </w:tcPr>
          <w:p w:rsidR="00EF2AEE" w:rsidRPr="00C015D1" w:rsidRDefault="00EF2AEE" w:rsidP="003A2660">
            <w:pPr>
              <w:snapToGrid w:val="0"/>
              <w:jc w:val="center"/>
              <w:rPr>
                <w:rFonts w:eastAsia="標楷體"/>
              </w:rPr>
            </w:pPr>
            <w:r w:rsidRPr="00C015D1">
              <w:rPr>
                <w:rFonts w:eastAsia="標楷體"/>
              </w:rPr>
              <w:t>十一</w:t>
            </w:r>
          </w:p>
        </w:tc>
        <w:tc>
          <w:tcPr>
            <w:tcW w:w="0" w:type="auto"/>
          </w:tcPr>
          <w:p w:rsidR="00EF2AEE" w:rsidRPr="00C015D1" w:rsidRDefault="00EF2AEE" w:rsidP="00EF2AEE">
            <w:pPr>
              <w:numPr>
                <w:ilvl w:val="0"/>
                <w:numId w:val="4"/>
              </w:numPr>
              <w:tabs>
                <w:tab w:val="left" w:pos="539"/>
              </w:tabs>
              <w:snapToGrid w:val="0"/>
              <w:jc w:val="both"/>
              <w:rPr>
                <w:rFonts w:eastAsia="標楷體"/>
              </w:rPr>
            </w:pPr>
            <w:r w:rsidRPr="00C015D1">
              <w:rPr>
                <w:rFonts w:eastAsia="標楷體"/>
              </w:rPr>
              <w:t>取得國外投資總額提高至資金</w:t>
            </w:r>
            <w:r w:rsidRPr="00C015D1">
              <w:rPr>
                <w:rFonts w:eastAsia="標楷體"/>
              </w:rPr>
              <w:t>35%</w:t>
            </w:r>
            <w:r w:rsidRPr="00C015D1">
              <w:rPr>
                <w:rFonts w:eastAsia="標楷體"/>
              </w:rPr>
              <w:t>之核准已逾一年。</w:t>
            </w:r>
          </w:p>
          <w:p w:rsidR="00EF2AEE" w:rsidRPr="00C015D1" w:rsidRDefault="00EF2AEE" w:rsidP="00EF2AEE">
            <w:pPr>
              <w:numPr>
                <w:ilvl w:val="0"/>
                <w:numId w:val="4"/>
              </w:numPr>
              <w:tabs>
                <w:tab w:val="left" w:pos="539"/>
              </w:tabs>
              <w:snapToGrid w:val="0"/>
              <w:ind w:left="528" w:hanging="528"/>
              <w:jc w:val="both"/>
              <w:rPr>
                <w:rFonts w:eastAsia="標楷體"/>
              </w:rPr>
            </w:pPr>
            <w:r w:rsidRPr="00C015D1">
              <w:rPr>
                <w:rFonts w:eastAsia="標楷體"/>
              </w:rPr>
              <w:t>由董事會每年訂定風險限額，並由風險管理委員會或風險控管部門定期控管。</w:t>
            </w:r>
          </w:p>
          <w:p w:rsidR="00EF2AEE" w:rsidRPr="00C015D1" w:rsidRDefault="00EF2AEE" w:rsidP="00EF2AEE">
            <w:pPr>
              <w:numPr>
                <w:ilvl w:val="0"/>
                <w:numId w:val="4"/>
              </w:numPr>
              <w:tabs>
                <w:tab w:val="left" w:pos="539"/>
              </w:tabs>
              <w:snapToGrid w:val="0"/>
              <w:ind w:left="528" w:hanging="528"/>
              <w:jc w:val="both"/>
              <w:rPr>
                <w:rFonts w:eastAsia="標楷體"/>
              </w:rPr>
            </w:pPr>
            <w:r w:rsidRPr="00C015D1">
              <w:rPr>
                <w:rFonts w:eastAsia="標楷體"/>
              </w:rPr>
              <w:t>最近一期自有資本與風險資本之比率達</w:t>
            </w:r>
            <w:r w:rsidRPr="00C015D1">
              <w:rPr>
                <w:rFonts w:eastAsia="標楷體"/>
              </w:rPr>
              <w:t>250%</w:t>
            </w:r>
            <w:r w:rsidRPr="00C015D1">
              <w:rPr>
                <w:rFonts w:eastAsia="標楷體"/>
              </w:rPr>
              <w:t>以上或經國內外信用評等機構評定最近一年信用評等等級為</w:t>
            </w:r>
            <w:r w:rsidRPr="00C015D1">
              <w:rPr>
                <w:rFonts w:eastAsia="標楷體"/>
              </w:rPr>
              <w:t xml:space="preserve"> AA- </w:t>
            </w:r>
            <w:r w:rsidRPr="00C015D1">
              <w:rPr>
                <w:rFonts w:eastAsia="標楷體"/>
              </w:rPr>
              <w:t>級或相當等級以上。</w:t>
            </w:r>
          </w:p>
          <w:p w:rsidR="00EF2AEE" w:rsidRPr="00C015D1" w:rsidRDefault="00EF2AEE" w:rsidP="00EF2AEE">
            <w:pPr>
              <w:numPr>
                <w:ilvl w:val="0"/>
                <w:numId w:val="4"/>
              </w:numPr>
              <w:tabs>
                <w:tab w:val="left" w:pos="528"/>
              </w:tabs>
              <w:snapToGrid w:val="0"/>
              <w:ind w:left="528" w:hanging="528"/>
              <w:jc w:val="both"/>
              <w:rPr>
                <w:rFonts w:eastAsia="標楷體"/>
              </w:rPr>
            </w:pPr>
            <w:r w:rsidRPr="00C015D1">
              <w:rPr>
                <w:rFonts w:eastAsia="標楷體"/>
              </w:rPr>
              <w:t>當年度未取得其他提高國外投資總額核准。</w:t>
            </w:r>
          </w:p>
          <w:p w:rsidR="00EF2AEE" w:rsidRPr="00C015D1" w:rsidRDefault="00EF2AEE" w:rsidP="00EF2AEE">
            <w:pPr>
              <w:numPr>
                <w:ilvl w:val="0"/>
                <w:numId w:val="4"/>
              </w:numPr>
              <w:tabs>
                <w:tab w:val="left" w:pos="528"/>
              </w:tabs>
              <w:snapToGrid w:val="0"/>
              <w:ind w:left="528" w:hanging="528"/>
              <w:jc w:val="both"/>
              <w:rPr>
                <w:rFonts w:eastAsia="標楷體"/>
              </w:rPr>
            </w:pPr>
            <w:r w:rsidRPr="00C015D1">
              <w:rPr>
                <w:rFonts w:eastAsia="標楷體"/>
              </w:rPr>
              <w:t>具體說明最近一年國外投資績效、準備金適足性之維護或增強、財務業務情況等。</w:t>
            </w:r>
          </w:p>
        </w:tc>
        <w:tc>
          <w:tcPr>
            <w:tcW w:w="0" w:type="auto"/>
          </w:tcPr>
          <w:p w:rsidR="00EF2AEE" w:rsidRPr="00C015D1" w:rsidRDefault="00EF2AEE" w:rsidP="003A2660">
            <w:pPr>
              <w:snapToGrid w:val="0"/>
              <w:jc w:val="center"/>
              <w:rPr>
                <w:rFonts w:eastAsia="標楷體"/>
                <w:sz w:val="28"/>
                <w:szCs w:val="28"/>
              </w:rPr>
            </w:pPr>
          </w:p>
        </w:tc>
        <w:tc>
          <w:tcPr>
            <w:tcW w:w="0" w:type="auto"/>
          </w:tcPr>
          <w:p w:rsidR="00EF2AEE" w:rsidRPr="00C015D1" w:rsidRDefault="00EF2AEE" w:rsidP="003A2660">
            <w:pPr>
              <w:snapToGrid w:val="0"/>
              <w:jc w:val="both"/>
              <w:rPr>
                <w:rFonts w:eastAsia="標楷體"/>
                <w:sz w:val="28"/>
                <w:szCs w:val="28"/>
              </w:rPr>
            </w:pPr>
          </w:p>
        </w:tc>
        <w:tc>
          <w:tcPr>
            <w:tcW w:w="0" w:type="auto"/>
          </w:tcPr>
          <w:p w:rsidR="00EF2AEE" w:rsidRPr="00C015D1" w:rsidRDefault="00EF2AEE" w:rsidP="003A2660">
            <w:pPr>
              <w:snapToGrid w:val="0"/>
              <w:jc w:val="both"/>
              <w:rPr>
                <w:rFonts w:eastAsia="標楷體"/>
                <w:sz w:val="28"/>
                <w:szCs w:val="28"/>
              </w:rPr>
            </w:pPr>
          </w:p>
        </w:tc>
        <w:tc>
          <w:tcPr>
            <w:tcW w:w="0" w:type="auto"/>
          </w:tcPr>
          <w:p w:rsidR="00EF2AEE" w:rsidRPr="00C015D1" w:rsidRDefault="00EF2AEE" w:rsidP="003A2660">
            <w:pPr>
              <w:snapToGrid w:val="0"/>
              <w:jc w:val="both"/>
              <w:rPr>
                <w:rFonts w:eastAsia="標楷體"/>
                <w:sz w:val="28"/>
                <w:szCs w:val="28"/>
              </w:rPr>
            </w:pPr>
            <w:r w:rsidRPr="00C015D1">
              <w:rPr>
                <w:rFonts w:eastAsia="標楷體"/>
              </w:rPr>
              <w:t>提高額度至超過</w:t>
            </w:r>
            <w:r w:rsidRPr="00C015D1">
              <w:rPr>
                <w:rFonts w:eastAsia="標楷體"/>
              </w:rPr>
              <w:t>(</w:t>
            </w:r>
            <w:r w:rsidRPr="00C015D1">
              <w:rPr>
                <w:rFonts w:eastAsia="標楷體"/>
              </w:rPr>
              <w:t>不含</w:t>
            </w:r>
            <w:r w:rsidRPr="00C015D1">
              <w:rPr>
                <w:rFonts w:eastAsia="標楷體"/>
              </w:rPr>
              <w:t>)35%</w:t>
            </w:r>
            <w:r w:rsidRPr="00C015D1">
              <w:rPr>
                <w:rFonts w:eastAsia="標楷體"/>
              </w:rPr>
              <w:t>者</w:t>
            </w:r>
          </w:p>
        </w:tc>
      </w:tr>
      <w:tr w:rsidR="00EF2AEE" w:rsidRPr="00C015D1" w:rsidTr="003A2660">
        <w:trPr>
          <w:trHeight w:val="551"/>
          <w:jc w:val="center"/>
        </w:trPr>
        <w:tc>
          <w:tcPr>
            <w:tcW w:w="0" w:type="auto"/>
          </w:tcPr>
          <w:p w:rsidR="00EF2AEE" w:rsidRPr="00C015D1" w:rsidRDefault="00EF2AEE" w:rsidP="003A2660">
            <w:pPr>
              <w:snapToGrid w:val="0"/>
              <w:jc w:val="center"/>
              <w:rPr>
                <w:rFonts w:eastAsia="標楷體"/>
              </w:rPr>
            </w:pPr>
            <w:r w:rsidRPr="00C015D1">
              <w:rPr>
                <w:rFonts w:eastAsia="標楷體"/>
              </w:rPr>
              <w:t>十二</w:t>
            </w:r>
          </w:p>
        </w:tc>
        <w:tc>
          <w:tcPr>
            <w:tcW w:w="0" w:type="auto"/>
          </w:tcPr>
          <w:p w:rsidR="00EF2AEE" w:rsidRPr="00C015D1" w:rsidRDefault="00EF2AEE" w:rsidP="00EF2AEE">
            <w:pPr>
              <w:numPr>
                <w:ilvl w:val="0"/>
                <w:numId w:val="5"/>
              </w:numPr>
              <w:tabs>
                <w:tab w:val="left" w:pos="528"/>
              </w:tabs>
              <w:snapToGrid w:val="0"/>
              <w:ind w:left="528" w:hanging="528"/>
              <w:jc w:val="both"/>
              <w:rPr>
                <w:rFonts w:eastAsia="標楷體"/>
              </w:rPr>
            </w:pPr>
            <w:r w:rsidRPr="00C015D1">
              <w:rPr>
                <w:rFonts w:eastAsia="標楷體"/>
              </w:rPr>
              <w:t>最近</w:t>
            </w:r>
            <w:proofErr w:type="gramStart"/>
            <w:r w:rsidRPr="00C015D1">
              <w:rPr>
                <w:rFonts w:eastAsia="標楷體"/>
              </w:rPr>
              <w:t>一</w:t>
            </w:r>
            <w:proofErr w:type="gramEnd"/>
            <w:r w:rsidRPr="00C015D1">
              <w:rPr>
                <w:rFonts w:eastAsia="標楷體"/>
              </w:rPr>
              <w:t>年度自有資本與風險資本之比率達</w:t>
            </w:r>
            <w:r w:rsidRPr="00C015D1">
              <w:rPr>
                <w:rFonts w:eastAsia="標楷體"/>
              </w:rPr>
              <w:t>250%</w:t>
            </w:r>
            <w:r w:rsidRPr="00C015D1">
              <w:rPr>
                <w:rFonts w:eastAsia="標楷體"/>
              </w:rPr>
              <w:t>以上，且最近</w:t>
            </w:r>
            <w:proofErr w:type="gramStart"/>
            <w:r w:rsidRPr="00C015D1">
              <w:rPr>
                <w:rFonts w:eastAsia="標楷體"/>
              </w:rPr>
              <w:t>三</w:t>
            </w:r>
            <w:proofErr w:type="gramEnd"/>
            <w:r w:rsidRPr="00C015D1">
              <w:rPr>
                <w:rFonts w:eastAsia="標楷體"/>
              </w:rPr>
              <w:t>年度平均比率達</w:t>
            </w:r>
            <w:r w:rsidRPr="00C015D1">
              <w:rPr>
                <w:rFonts w:eastAsia="標楷體"/>
              </w:rPr>
              <w:t>250%</w:t>
            </w:r>
            <w:r w:rsidRPr="00C015D1">
              <w:rPr>
                <w:rFonts w:eastAsia="標楷體"/>
              </w:rPr>
              <w:t>以上，或經國內外信用評等機構評定最近一年信用評等等級為</w:t>
            </w:r>
            <w:r w:rsidRPr="00C015D1">
              <w:rPr>
                <w:rFonts w:eastAsia="標楷體"/>
              </w:rPr>
              <w:t>AA+</w:t>
            </w:r>
            <w:r w:rsidRPr="00C015D1">
              <w:rPr>
                <w:rFonts w:eastAsia="標楷體"/>
              </w:rPr>
              <w:t>級或相當等級以上。</w:t>
            </w:r>
          </w:p>
          <w:p w:rsidR="00EF2AEE" w:rsidRPr="00C015D1" w:rsidRDefault="00EF2AEE" w:rsidP="00EF2AEE">
            <w:pPr>
              <w:numPr>
                <w:ilvl w:val="0"/>
                <w:numId w:val="5"/>
              </w:numPr>
              <w:tabs>
                <w:tab w:val="left" w:pos="539"/>
              </w:tabs>
              <w:snapToGrid w:val="0"/>
              <w:ind w:left="528" w:hanging="528"/>
              <w:jc w:val="both"/>
              <w:rPr>
                <w:rFonts w:eastAsia="標楷體"/>
              </w:rPr>
            </w:pPr>
            <w:r w:rsidRPr="00C015D1">
              <w:rPr>
                <w:rFonts w:eastAsia="標楷體"/>
              </w:rPr>
              <w:t>設有內部風險模型以量化公司整體風險。</w:t>
            </w:r>
          </w:p>
          <w:p w:rsidR="00EF2AEE" w:rsidRPr="00C015D1" w:rsidRDefault="00EF2AEE" w:rsidP="00EF2AEE">
            <w:pPr>
              <w:numPr>
                <w:ilvl w:val="0"/>
                <w:numId w:val="5"/>
              </w:numPr>
              <w:tabs>
                <w:tab w:val="left" w:pos="539"/>
              </w:tabs>
              <w:snapToGrid w:val="0"/>
              <w:ind w:left="528" w:hanging="528"/>
              <w:jc w:val="both"/>
              <w:rPr>
                <w:rFonts w:eastAsia="標楷體"/>
              </w:rPr>
            </w:pPr>
            <w:r w:rsidRPr="00C015D1">
              <w:rPr>
                <w:rFonts w:eastAsia="標楷體"/>
              </w:rPr>
              <w:t>當年度未取得其他提高國外投資總額核准。</w:t>
            </w:r>
          </w:p>
          <w:p w:rsidR="00EF2AEE" w:rsidRPr="00C015D1" w:rsidRDefault="00EF2AEE" w:rsidP="00EF2AEE">
            <w:pPr>
              <w:numPr>
                <w:ilvl w:val="0"/>
                <w:numId w:val="5"/>
              </w:numPr>
              <w:tabs>
                <w:tab w:val="left" w:pos="539"/>
              </w:tabs>
              <w:snapToGrid w:val="0"/>
              <w:ind w:left="528" w:hanging="528"/>
              <w:jc w:val="both"/>
              <w:rPr>
                <w:rFonts w:eastAsia="標楷體"/>
              </w:rPr>
            </w:pPr>
            <w:r w:rsidRPr="00C015D1">
              <w:rPr>
                <w:rFonts w:eastAsia="標楷體"/>
              </w:rPr>
              <w:t>具體說明最近一年國外投資績效、準備金適足性之維護或增強、財務業務情況等。</w:t>
            </w:r>
          </w:p>
        </w:tc>
        <w:tc>
          <w:tcPr>
            <w:tcW w:w="0" w:type="auto"/>
          </w:tcPr>
          <w:p w:rsidR="00EF2AEE" w:rsidRPr="00C015D1" w:rsidRDefault="00EF2AEE" w:rsidP="003A2660">
            <w:pPr>
              <w:snapToGrid w:val="0"/>
              <w:jc w:val="center"/>
              <w:rPr>
                <w:rFonts w:eastAsia="標楷體"/>
                <w:sz w:val="28"/>
                <w:szCs w:val="28"/>
              </w:rPr>
            </w:pPr>
          </w:p>
        </w:tc>
        <w:tc>
          <w:tcPr>
            <w:tcW w:w="0" w:type="auto"/>
          </w:tcPr>
          <w:p w:rsidR="00EF2AEE" w:rsidRPr="00C015D1" w:rsidRDefault="00EF2AEE" w:rsidP="003A2660">
            <w:pPr>
              <w:snapToGrid w:val="0"/>
              <w:jc w:val="both"/>
              <w:rPr>
                <w:rFonts w:eastAsia="標楷體"/>
                <w:sz w:val="28"/>
                <w:szCs w:val="28"/>
              </w:rPr>
            </w:pPr>
          </w:p>
        </w:tc>
        <w:tc>
          <w:tcPr>
            <w:tcW w:w="0" w:type="auto"/>
          </w:tcPr>
          <w:p w:rsidR="00EF2AEE" w:rsidRPr="00C015D1" w:rsidRDefault="00EF2AEE" w:rsidP="003A2660">
            <w:pPr>
              <w:snapToGrid w:val="0"/>
              <w:jc w:val="both"/>
              <w:rPr>
                <w:rFonts w:eastAsia="標楷體"/>
                <w:sz w:val="28"/>
                <w:szCs w:val="28"/>
              </w:rPr>
            </w:pPr>
          </w:p>
        </w:tc>
        <w:tc>
          <w:tcPr>
            <w:tcW w:w="0" w:type="auto"/>
          </w:tcPr>
          <w:p w:rsidR="00EF2AEE" w:rsidRPr="00C015D1" w:rsidRDefault="00EF2AEE" w:rsidP="003A2660">
            <w:pPr>
              <w:snapToGrid w:val="0"/>
              <w:jc w:val="both"/>
              <w:rPr>
                <w:rFonts w:eastAsia="標楷體"/>
                <w:sz w:val="28"/>
                <w:szCs w:val="28"/>
              </w:rPr>
            </w:pPr>
            <w:r w:rsidRPr="00C015D1">
              <w:rPr>
                <w:rFonts w:eastAsia="標楷體"/>
              </w:rPr>
              <w:t>提高額度至超過</w:t>
            </w:r>
            <w:r w:rsidRPr="00C015D1">
              <w:rPr>
                <w:rFonts w:eastAsia="標楷體"/>
              </w:rPr>
              <w:t>(</w:t>
            </w:r>
            <w:r w:rsidRPr="00C015D1">
              <w:rPr>
                <w:rFonts w:eastAsia="標楷體"/>
              </w:rPr>
              <w:t>不含</w:t>
            </w:r>
            <w:r w:rsidRPr="00C015D1">
              <w:rPr>
                <w:rFonts w:eastAsia="標楷體"/>
              </w:rPr>
              <w:t>)40%</w:t>
            </w:r>
            <w:r w:rsidRPr="00C015D1">
              <w:rPr>
                <w:rFonts w:eastAsia="標楷體"/>
              </w:rPr>
              <w:t>者</w:t>
            </w:r>
          </w:p>
        </w:tc>
      </w:tr>
    </w:tbl>
    <w:p w:rsidR="005803D2" w:rsidRDefault="005803D2" w:rsidP="005803D2">
      <w:pPr>
        <w:rPr>
          <w:rFonts w:ascii="標楷體" w:eastAsia="標楷體" w:hAnsi="標楷體"/>
          <w:szCs w:val="24"/>
        </w:rPr>
      </w:pPr>
      <w:proofErr w:type="gramStart"/>
      <w:r w:rsidRPr="00AC4D0A">
        <w:rPr>
          <w:rFonts w:ascii="標楷體" w:eastAsia="標楷體" w:hAnsi="標楷體" w:hint="eastAsia"/>
          <w:szCs w:val="24"/>
        </w:rPr>
        <w:t>註</w:t>
      </w:r>
      <w:proofErr w:type="gramEnd"/>
      <w:r w:rsidRPr="00AC4D0A">
        <w:rPr>
          <w:rFonts w:ascii="標楷體" w:eastAsia="標楷體" w:hAnsi="標楷體" w:hint="eastAsia"/>
          <w:szCs w:val="24"/>
        </w:rPr>
        <w:t>：外商分公司得依組織型態、可運用資金規模等情況，比照本國公司</w:t>
      </w:r>
      <w:proofErr w:type="gramStart"/>
      <w:r w:rsidRPr="00AC4D0A">
        <w:rPr>
          <w:rFonts w:ascii="標楷體" w:eastAsia="標楷體" w:hAnsi="標楷體" w:hint="eastAsia"/>
          <w:szCs w:val="24"/>
        </w:rPr>
        <w:t>研</w:t>
      </w:r>
      <w:proofErr w:type="gramEnd"/>
      <w:r w:rsidRPr="00AC4D0A">
        <w:rPr>
          <w:rFonts w:ascii="標楷體" w:eastAsia="標楷體" w:hAnsi="標楷體" w:hint="eastAsia"/>
          <w:szCs w:val="24"/>
        </w:rPr>
        <w:t>提投資風險控管、內部稽核以及法令遵循機制。</w:t>
      </w:r>
    </w:p>
    <w:p w:rsidR="005803D2" w:rsidRPr="00AC4D0A" w:rsidRDefault="005803D2" w:rsidP="005803D2">
      <w:pPr>
        <w:rPr>
          <w:rFonts w:ascii="標楷體" w:eastAsia="標楷體" w:hAnsi="標楷體"/>
          <w:szCs w:val="24"/>
        </w:rPr>
      </w:pPr>
      <w:r w:rsidRPr="00AC4D0A">
        <w:rPr>
          <w:rFonts w:ascii="標楷體" w:eastAsia="標楷體" w:hAnsi="標楷體" w:hint="eastAsia"/>
          <w:szCs w:val="24"/>
        </w:rPr>
        <w:t>聯絡人員及電話</w:t>
      </w:r>
      <w:r>
        <w:rPr>
          <w:rFonts w:ascii="標楷體" w:eastAsia="標楷體" w:hAnsi="標楷體" w:hint="eastAsia"/>
          <w:szCs w:val="24"/>
        </w:rPr>
        <w:t xml:space="preserve">                    </w:t>
      </w:r>
      <w:r w:rsidRPr="00AC4D0A">
        <w:rPr>
          <w:rFonts w:ascii="標楷體" w:eastAsia="標楷體" w:hAnsi="標楷體" w:hint="eastAsia"/>
          <w:szCs w:val="24"/>
        </w:rPr>
        <w:t>部門主管</w:t>
      </w:r>
    </w:p>
    <w:p w:rsidR="005803D2" w:rsidRPr="00AC4D0A" w:rsidRDefault="005803D2" w:rsidP="005803D2">
      <w:pPr>
        <w:rPr>
          <w:rFonts w:ascii="標楷體" w:eastAsia="標楷體" w:hAnsi="標楷體"/>
          <w:szCs w:val="24"/>
        </w:rPr>
      </w:pPr>
      <w:r w:rsidRPr="00AC4D0A">
        <w:rPr>
          <w:rFonts w:ascii="標楷體" w:eastAsia="標楷體" w:hAnsi="標楷體" w:hint="eastAsia"/>
          <w:szCs w:val="24"/>
        </w:rPr>
        <w:t>總稽核</w:t>
      </w:r>
      <w:r>
        <w:rPr>
          <w:rFonts w:ascii="標楷體" w:eastAsia="標楷體" w:hAnsi="標楷體" w:hint="eastAsia"/>
          <w:szCs w:val="24"/>
        </w:rPr>
        <w:t xml:space="preserve">                            </w:t>
      </w:r>
      <w:r w:rsidRPr="00AC4D0A">
        <w:rPr>
          <w:rFonts w:ascii="標楷體" w:eastAsia="標楷體" w:hAnsi="標楷體" w:hint="eastAsia"/>
          <w:szCs w:val="24"/>
        </w:rPr>
        <w:t>總機構法令遵循主管</w:t>
      </w:r>
    </w:p>
    <w:p w:rsidR="00EF2AEE" w:rsidRPr="00EF2AEE" w:rsidRDefault="005803D2" w:rsidP="005803D2">
      <w:r w:rsidRPr="00AC4D0A">
        <w:rPr>
          <w:rFonts w:ascii="標楷體" w:eastAsia="標楷體" w:hAnsi="標楷體" w:hint="eastAsia"/>
          <w:szCs w:val="24"/>
        </w:rPr>
        <w:t>總經理</w:t>
      </w:r>
    </w:p>
    <w:sectPr w:rsidR="00EF2AEE" w:rsidRPr="00EF2AE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253"/>
    <w:multiLevelType w:val="hybridMultilevel"/>
    <w:tmpl w:val="EB4A142E"/>
    <w:lvl w:ilvl="0" w:tplc="7A048D14">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F4F72F4"/>
    <w:multiLevelType w:val="hybridMultilevel"/>
    <w:tmpl w:val="5DC84C44"/>
    <w:lvl w:ilvl="0" w:tplc="24982560">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91041DD"/>
    <w:multiLevelType w:val="hybridMultilevel"/>
    <w:tmpl w:val="7AB84D7A"/>
    <w:lvl w:ilvl="0" w:tplc="AE4ADA80">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2787F05"/>
    <w:multiLevelType w:val="hybridMultilevel"/>
    <w:tmpl w:val="AA121F58"/>
    <w:lvl w:ilvl="0" w:tplc="B6FA2B5A">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8933639"/>
    <w:multiLevelType w:val="hybridMultilevel"/>
    <w:tmpl w:val="C8F88FCA"/>
    <w:lvl w:ilvl="0" w:tplc="B552A5E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45E2851"/>
    <w:multiLevelType w:val="hybridMultilevel"/>
    <w:tmpl w:val="5A9477C0"/>
    <w:lvl w:ilvl="0" w:tplc="3056A73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AEE"/>
    <w:rsid w:val="005803D2"/>
    <w:rsid w:val="008B4C52"/>
    <w:rsid w:val="00D314C2"/>
    <w:rsid w:val="00EF2A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A9D4E-7DD4-46D2-865D-8A35BEAB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AE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4C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314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朱瑞呈</dc:creator>
  <cp:keywords/>
  <dc:description/>
  <cp:lastModifiedBy>朱瑞呈</cp:lastModifiedBy>
  <cp:revision>3</cp:revision>
  <cp:lastPrinted>2022-07-29T07:44:00Z</cp:lastPrinted>
  <dcterms:created xsi:type="dcterms:W3CDTF">2022-07-22T00:11:00Z</dcterms:created>
  <dcterms:modified xsi:type="dcterms:W3CDTF">2022-07-29T07:44:00Z</dcterms:modified>
</cp:coreProperties>
</file>