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45" w:rsidRPr="009248DC" w:rsidRDefault="00C44045" w:rsidP="006F3B5C">
      <w:pPr>
        <w:widowControl/>
        <w:snapToGrid w:val="0"/>
        <w:spacing w:line="520" w:lineRule="exact"/>
        <w:ind w:leftChars="-46" w:left="-110"/>
        <w:jc w:val="both"/>
        <w:outlineLvl w:val="3"/>
        <w:rPr>
          <w:rFonts w:ascii="標楷體" w:eastAsia="標楷體" w:hAnsi="標楷體"/>
          <w:sz w:val="40"/>
          <w:szCs w:val="40"/>
        </w:rPr>
      </w:pPr>
      <w:bookmarkStart w:id="0" w:name="_GoBack"/>
      <w:bookmarkEnd w:id="0"/>
      <w:r w:rsidRPr="009248DC">
        <w:rPr>
          <w:rFonts w:ascii="標楷體" w:eastAsia="標楷體" w:hAnsi="標楷體" w:hint="eastAsia"/>
          <w:sz w:val="40"/>
          <w:szCs w:val="40"/>
        </w:rPr>
        <w:t>保險代理人公司保險經紀人公司內部控制稽核制度及招攬處理制度實施辦法部分條文修正草案條文對照表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2966"/>
        <w:gridCol w:w="2966"/>
      </w:tblGrid>
      <w:tr w:rsidR="009248DC" w:rsidRPr="009248DC" w:rsidTr="00EF1CA8">
        <w:tc>
          <w:tcPr>
            <w:tcW w:w="2965" w:type="dxa"/>
          </w:tcPr>
          <w:p w:rsidR="00C44045" w:rsidRPr="009248DC" w:rsidRDefault="00C44045" w:rsidP="00C20ED1">
            <w:pPr>
              <w:jc w:val="center"/>
              <w:rPr>
                <w:rFonts w:ascii="標楷體" w:eastAsia="標楷體" w:hAnsi="標楷體"/>
              </w:rPr>
            </w:pPr>
            <w:r w:rsidRPr="009248DC">
              <w:rPr>
                <w:rFonts w:ascii="標楷體" w:eastAsia="標楷體" w:hAnsi="標楷體" w:hint="eastAsia"/>
              </w:rPr>
              <w:t>修正條文</w:t>
            </w:r>
          </w:p>
        </w:tc>
        <w:tc>
          <w:tcPr>
            <w:tcW w:w="2966" w:type="dxa"/>
          </w:tcPr>
          <w:p w:rsidR="00C44045" w:rsidRPr="009248DC" w:rsidRDefault="00C44045" w:rsidP="00C20ED1">
            <w:pPr>
              <w:jc w:val="center"/>
              <w:rPr>
                <w:rFonts w:ascii="標楷體" w:eastAsia="標楷體" w:hAnsi="標楷體"/>
              </w:rPr>
            </w:pPr>
            <w:r w:rsidRPr="009248DC">
              <w:rPr>
                <w:rFonts w:ascii="標楷體" w:eastAsia="標楷體" w:hAnsi="標楷體" w:hint="eastAsia"/>
              </w:rPr>
              <w:t>現行條文</w:t>
            </w:r>
          </w:p>
        </w:tc>
        <w:tc>
          <w:tcPr>
            <w:tcW w:w="2966" w:type="dxa"/>
          </w:tcPr>
          <w:p w:rsidR="00C44045" w:rsidRPr="009248DC" w:rsidRDefault="00C44045" w:rsidP="00C20ED1">
            <w:pPr>
              <w:jc w:val="center"/>
              <w:rPr>
                <w:rFonts w:ascii="標楷體" w:eastAsia="標楷體" w:hAnsi="標楷體"/>
              </w:rPr>
            </w:pPr>
            <w:r w:rsidRPr="009248DC">
              <w:rPr>
                <w:rFonts w:ascii="標楷體" w:eastAsia="標楷體" w:hAnsi="標楷體" w:hint="eastAsia"/>
              </w:rPr>
              <w:t>說明</w:t>
            </w:r>
          </w:p>
        </w:tc>
      </w:tr>
      <w:tr w:rsidR="009248DC" w:rsidRPr="009248DC" w:rsidTr="00EF1CA8">
        <w:tc>
          <w:tcPr>
            <w:tcW w:w="2965" w:type="dxa"/>
          </w:tcPr>
          <w:p w:rsidR="00C44045" w:rsidRPr="009248DC" w:rsidRDefault="00C44045" w:rsidP="007559A0">
            <w:pPr>
              <w:ind w:left="240" w:hangingChars="100" w:hanging="240"/>
              <w:jc w:val="both"/>
              <w:rPr>
                <w:rFonts w:ascii="標楷體" w:eastAsia="標楷體" w:hAnsi="標楷體" w:cs="新細明體"/>
                <w:bCs/>
                <w:kern w:val="0"/>
              </w:rPr>
            </w:pPr>
            <w:r w:rsidRPr="009248DC">
              <w:rPr>
                <w:rFonts w:ascii="標楷體" w:eastAsia="標楷體" w:hAnsi="標楷體" w:cs="新細明體" w:hint="eastAsia"/>
                <w:bCs/>
                <w:kern w:val="0"/>
              </w:rPr>
              <w:t>第二條　保險代理人公司、保險經紀人公司年度營業收入達下列各款金額者，應依各該款規定時程建立內部控制、稽核制度與招攬處理制度及程序：</w:t>
            </w:r>
          </w:p>
          <w:p w:rsidR="00C44045" w:rsidRPr="009248DC" w:rsidRDefault="00C44045" w:rsidP="007559A0">
            <w:pPr>
              <w:ind w:leftChars="100" w:left="720" w:hangingChars="200" w:hanging="480"/>
              <w:jc w:val="both"/>
              <w:rPr>
                <w:rFonts w:ascii="標楷體" w:eastAsia="標楷體" w:hAnsi="標楷體" w:cs="新細明體"/>
                <w:bCs/>
                <w:kern w:val="0"/>
              </w:rPr>
            </w:pPr>
            <w:r w:rsidRPr="009248DC">
              <w:rPr>
                <w:rFonts w:ascii="標楷體" w:eastAsia="標楷體" w:hAnsi="標楷體" w:cs="新細明體" w:hint="eastAsia"/>
                <w:bCs/>
                <w:kern w:val="0"/>
              </w:rPr>
              <w:t>一、年度營業收入達新臺幣三億元</w:t>
            </w:r>
            <w:r w:rsidRPr="009248DC">
              <w:rPr>
                <w:rFonts w:ascii="標楷體" w:eastAsia="標楷體" w:hAnsi="標楷體" w:cs="新細明體" w:hint="eastAsia"/>
                <w:bCs/>
                <w:kern w:val="0"/>
                <w:u w:val="single"/>
              </w:rPr>
              <w:t>以上</w:t>
            </w:r>
            <w:r w:rsidRPr="009248DC">
              <w:rPr>
                <w:rFonts w:ascii="標楷體" w:eastAsia="標楷體" w:hAnsi="標楷體" w:cs="新細明體" w:hint="eastAsia"/>
                <w:bCs/>
                <w:kern w:val="0"/>
              </w:rPr>
              <w:t>者，應於次一年內辦理。</w:t>
            </w:r>
          </w:p>
          <w:p w:rsidR="00C44045" w:rsidRPr="009248DC" w:rsidRDefault="00C44045" w:rsidP="007559A0">
            <w:pPr>
              <w:ind w:leftChars="100" w:left="720" w:hangingChars="200" w:hanging="480"/>
              <w:jc w:val="both"/>
              <w:rPr>
                <w:rFonts w:ascii="標楷體" w:eastAsia="標楷體" w:hAnsi="標楷體" w:cs="新細明體"/>
                <w:bCs/>
                <w:kern w:val="0"/>
              </w:rPr>
            </w:pPr>
            <w:r w:rsidRPr="009248DC">
              <w:rPr>
                <w:rFonts w:ascii="標楷體" w:eastAsia="標楷體" w:hAnsi="標楷體" w:cs="新細明體" w:hint="eastAsia"/>
                <w:bCs/>
                <w:kern w:val="0"/>
              </w:rPr>
              <w:t>二、年度營業收入達新臺幣一億元</w:t>
            </w:r>
            <w:r w:rsidRPr="009248DC">
              <w:rPr>
                <w:rFonts w:ascii="標楷體" w:eastAsia="標楷體" w:hAnsi="標楷體" w:cs="新細明體" w:hint="eastAsia"/>
                <w:bCs/>
                <w:kern w:val="0"/>
                <w:u w:val="single"/>
              </w:rPr>
              <w:t>以上未達三億元</w:t>
            </w:r>
            <w:r w:rsidRPr="009248DC">
              <w:rPr>
                <w:rFonts w:ascii="標楷體" w:eastAsia="標楷體" w:hAnsi="標楷體" w:cs="新細明體" w:hint="eastAsia"/>
                <w:bCs/>
                <w:kern w:val="0"/>
              </w:rPr>
              <w:t>者，應於次二年內辦理。</w:t>
            </w:r>
          </w:p>
          <w:p w:rsidR="00C44045" w:rsidRPr="009248DC" w:rsidRDefault="00C44045" w:rsidP="007559A0">
            <w:pPr>
              <w:ind w:leftChars="100" w:left="720" w:hangingChars="200" w:hanging="480"/>
              <w:jc w:val="both"/>
              <w:rPr>
                <w:rFonts w:ascii="標楷體" w:eastAsia="標楷體" w:hAnsi="標楷體" w:cs="新細明體"/>
                <w:bCs/>
                <w:kern w:val="0"/>
              </w:rPr>
            </w:pPr>
            <w:r w:rsidRPr="009248DC">
              <w:rPr>
                <w:rFonts w:ascii="標楷體" w:eastAsia="標楷體" w:hAnsi="標楷體" w:cs="新細明體" w:hint="eastAsia"/>
                <w:bCs/>
                <w:kern w:val="0"/>
                <w:u w:val="single"/>
              </w:rPr>
              <w:t>三、年度營業收入達新臺幣五千萬元以上未達一億元者，應於次</w:t>
            </w:r>
            <w:r w:rsidR="00457863" w:rsidRPr="009248DC">
              <w:rPr>
                <w:rFonts w:ascii="標楷體" w:eastAsia="標楷體" w:hAnsi="標楷體" w:cs="新細明體" w:hint="eastAsia"/>
                <w:bCs/>
                <w:kern w:val="0"/>
                <w:u w:val="single"/>
              </w:rPr>
              <w:t>三</w:t>
            </w:r>
            <w:r w:rsidRPr="009248DC">
              <w:rPr>
                <w:rFonts w:ascii="標楷體" w:eastAsia="標楷體" w:hAnsi="標楷體" w:cs="新細明體" w:hint="eastAsia"/>
                <w:bCs/>
                <w:kern w:val="0"/>
                <w:u w:val="single"/>
              </w:rPr>
              <w:t>年內辦理。</w:t>
            </w:r>
          </w:p>
          <w:p w:rsidR="00C44045" w:rsidRPr="009248DC" w:rsidRDefault="00C44045" w:rsidP="007559A0">
            <w:pPr>
              <w:ind w:leftChars="96" w:left="230" w:firstLineChars="4" w:firstLine="10"/>
              <w:jc w:val="both"/>
              <w:rPr>
                <w:rFonts w:ascii="標楷體" w:eastAsia="標楷體" w:hAnsi="標楷體" w:cs="新細明體"/>
                <w:bCs/>
                <w:kern w:val="0"/>
              </w:rPr>
            </w:pPr>
            <w:r w:rsidRPr="009248DC">
              <w:rPr>
                <w:rFonts w:ascii="標楷體" w:eastAsia="標楷體" w:hAnsi="標楷體" w:cs="新細明體" w:hint="eastAsia"/>
                <w:bCs/>
                <w:kern w:val="0"/>
              </w:rPr>
              <w:t xml:space="preserve">　　本辦法所稱營業收入以金融監督管理委員會監理年費檢查費計繳標準及規費收取辦法</w:t>
            </w:r>
            <w:hyperlink r:id="rId9" w:anchor="a5" w:history="1">
              <w:r w:rsidRPr="009248DC">
                <w:rPr>
                  <w:rFonts w:ascii="標楷體" w:eastAsia="標楷體" w:hAnsi="標楷體" w:cs="新細明體" w:hint="eastAsia"/>
                  <w:bCs/>
                  <w:kern w:val="0"/>
                </w:rPr>
                <w:t>第五條</w:t>
              </w:r>
            </w:hyperlink>
            <w:r w:rsidRPr="009248DC">
              <w:rPr>
                <w:rFonts w:ascii="標楷體" w:eastAsia="標楷體" w:hAnsi="標楷體" w:cs="新細明體" w:hint="eastAsia"/>
                <w:bCs/>
                <w:kern w:val="0"/>
              </w:rPr>
              <w:t>所定之營業收入為依據。</w:t>
            </w:r>
          </w:p>
        </w:tc>
        <w:tc>
          <w:tcPr>
            <w:tcW w:w="2966" w:type="dxa"/>
          </w:tcPr>
          <w:p w:rsidR="00C44045" w:rsidRPr="009248DC" w:rsidRDefault="00C44045" w:rsidP="007559A0">
            <w:pPr>
              <w:pStyle w:val="2"/>
              <w:spacing w:line="240" w:lineRule="auto"/>
              <w:ind w:left="240" w:hangingChars="100" w:hanging="240"/>
              <w:jc w:val="both"/>
              <w:rPr>
                <w:rFonts w:ascii="標楷體" w:eastAsia="標楷體" w:hAnsi="標楷體" w:cs="新細明體"/>
                <w:b w:val="0"/>
                <w:kern w:val="0"/>
                <w:sz w:val="24"/>
                <w:szCs w:val="24"/>
              </w:rPr>
            </w:pPr>
            <w:r w:rsidRPr="009248DC">
              <w:rPr>
                <w:rFonts w:ascii="標楷體" w:eastAsia="標楷體" w:hAnsi="標楷體" w:cs="新細明體" w:hint="eastAsia"/>
                <w:b w:val="0"/>
                <w:kern w:val="0"/>
                <w:sz w:val="24"/>
                <w:szCs w:val="24"/>
              </w:rPr>
              <w:t>第二條　保險代理人公司、保險經紀人公司年度營業收入達下列各款金額者，應依各該款規定時程建立內部控制、稽核制度與招攬處理制度及程序：</w:t>
            </w:r>
          </w:p>
          <w:p w:rsidR="00C44045" w:rsidRPr="009248DC" w:rsidRDefault="00C44045" w:rsidP="007559A0">
            <w:pPr>
              <w:pStyle w:val="2"/>
              <w:spacing w:line="240" w:lineRule="auto"/>
              <w:ind w:leftChars="80" w:left="600" w:hangingChars="170" w:hanging="408"/>
              <w:jc w:val="both"/>
              <w:rPr>
                <w:rFonts w:ascii="標楷體" w:eastAsia="標楷體" w:hAnsi="標楷體" w:cs="新細明體"/>
                <w:b w:val="0"/>
                <w:kern w:val="0"/>
                <w:sz w:val="24"/>
                <w:szCs w:val="24"/>
              </w:rPr>
            </w:pPr>
            <w:r w:rsidRPr="009248DC">
              <w:rPr>
                <w:rFonts w:ascii="標楷體" w:eastAsia="標楷體" w:hAnsi="標楷體" w:cs="新細明體" w:hint="eastAsia"/>
                <w:b w:val="0"/>
                <w:kern w:val="0"/>
                <w:sz w:val="24"/>
                <w:szCs w:val="24"/>
              </w:rPr>
              <w:t>一、年度營業收入達新臺幣三億元者，應於次一年內辦理。</w:t>
            </w:r>
          </w:p>
          <w:p w:rsidR="00C44045" w:rsidRPr="009248DC" w:rsidRDefault="00C44045" w:rsidP="007559A0">
            <w:pPr>
              <w:pStyle w:val="2"/>
              <w:spacing w:line="240" w:lineRule="auto"/>
              <w:ind w:leftChars="80" w:left="600" w:hangingChars="170" w:hanging="408"/>
              <w:jc w:val="both"/>
              <w:rPr>
                <w:rFonts w:ascii="標楷體" w:eastAsia="標楷體" w:hAnsi="標楷體" w:cs="新細明體"/>
                <w:b w:val="0"/>
                <w:kern w:val="0"/>
                <w:sz w:val="24"/>
                <w:szCs w:val="24"/>
              </w:rPr>
            </w:pPr>
            <w:r w:rsidRPr="009248DC">
              <w:rPr>
                <w:rFonts w:ascii="標楷體" w:eastAsia="標楷體" w:hAnsi="標楷體" w:cs="新細明體" w:hint="eastAsia"/>
                <w:b w:val="0"/>
                <w:kern w:val="0"/>
                <w:sz w:val="24"/>
                <w:szCs w:val="24"/>
              </w:rPr>
              <w:t>二、年度營業收入達新臺幣一億元者，應於次二年內辦理。</w:t>
            </w:r>
          </w:p>
          <w:p w:rsidR="00C44045" w:rsidRPr="009248DC" w:rsidRDefault="00C44045" w:rsidP="007559A0">
            <w:pPr>
              <w:pStyle w:val="2"/>
              <w:spacing w:line="240" w:lineRule="auto"/>
              <w:ind w:leftChars="106" w:left="254" w:firstLineChars="205" w:firstLine="492"/>
              <w:jc w:val="both"/>
              <w:rPr>
                <w:rFonts w:ascii="標楷體" w:eastAsia="標楷體" w:hAnsi="標楷體" w:cs="新細明體"/>
                <w:b w:val="0"/>
                <w:kern w:val="0"/>
                <w:sz w:val="24"/>
                <w:szCs w:val="24"/>
              </w:rPr>
            </w:pPr>
            <w:r w:rsidRPr="009248DC">
              <w:rPr>
                <w:rFonts w:ascii="標楷體" w:eastAsia="標楷體" w:hAnsi="標楷體" w:cs="新細明體" w:hint="eastAsia"/>
                <w:b w:val="0"/>
                <w:kern w:val="0"/>
                <w:sz w:val="24"/>
                <w:szCs w:val="24"/>
              </w:rPr>
              <w:t>本辦法所稱營業收入以</w:t>
            </w:r>
            <w:r w:rsidRPr="009248DC">
              <w:rPr>
                <w:rFonts w:ascii="標楷體" w:eastAsia="標楷體" w:hAnsi="標楷體" w:cs="新細明體" w:hint="eastAsia"/>
                <w:b w:val="0"/>
                <w:kern w:val="0"/>
                <w:sz w:val="24"/>
                <w:szCs w:val="24"/>
                <w:u w:val="single"/>
              </w:rPr>
              <w:t>行政院</w:t>
            </w:r>
            <w:r w:rsidRPr="009248DC">
              <w:rPr>
                <w:rFonts w:ascii="標楷體" w:eastAsia="標楷體" w:hAnsi="標楷體" w:cs="新細明體" w:hint="eastAsia"/>
                <w:b w:val="0"/>
                <w:kern w:val="0"/>
                <w:sz w:val="24"/>
                <w:szCs w:val="24"/>
              </w:rPr>
              <w:t>金融監督管理委員會監理年費檢查費計繳標準及規費收取辦法</w:t>
            </w:r>
            <w:hyperlink r:id="rId10" w:anchor="a5" w:history="1">
              <w:r w:rsidRPr="009248DC">
                <w:rPr>
                  <w:rFonts w:ascii="標楷體" w:eastAsia="標楷體" w:hAnsi="標楷體" w:cs="新細明體" w:hint="eastAsia"/>
                  <w:b w:val="0"/>
                  <w:kern w:val="0"/>
                  <w:sz w:val="24"/>
                  <w:szCs w:val="24"/>
                </w:rPr>
                <w:t>第五條</w:t>
              </w:r>
            </w:hyperlink>
            <w:r w:rsidRPr="009248DC">
              <w:rPr>
                <w:rFonts w:ascii="標楷體" w:eastAsia="標楷體" w:hAnsi="標楷體" w:cs="新細明體" w:hint="eastAsia"/>
                <w:b w:val="0"/>
                <w:kern w:val="0"/>
                <w:sz w:val="24"/>
                <w:szCs w:val="24"/>
              </w:rPr>
              <w:t>所定之營業收入為依據。</w:t>
            </w:r>
          </w:p>
        </w:tc>
        <w:tc>
          <w:tcPr>
            <w:tcW w:w="2966" w:type="dxa"/>
          </w:tcPr>
          <w:p w:rsidR="00C44045" w:rsidRPr="009248DC" w:rsidRDefault="00457863" w:rsidP="00457863">
            <w:pPr>
              <w:ind w:left="425" w:hangingChars="177" w:hanging="425"/>
              <w:jc w:val="both"/>
              <w:rPr>
                <w:rFonts w:ascii="標楷體" w:eastAsia="標楷體" w:hAnsi="標楷體" w:cs="新細明體"/>
                <w:bCs/>
                <w:kern w:val="0"/>
              </w:rPr>
            </w:pPr>
            <w:r w:rsidRPr="009248DC">
              <w:rPr>
                <w:rFonts w:ascii="標楷體" w:eastAsia="標楷體" w:hAnsi="標楷體" w:cs="新細明體" w:hint="eastAsia"/>
                <w:bCs/>
                <w:kern w:val="0"/>
              </w:rPr>
              <w:t>一、</w:t>
            </w:r>
            <w:r w:rsidR="00C44045" w:rsidRPr="009248DC">
              <w:rPr>
                <w:rFonts w:ascii="標楷體" w:eastAsia="標楷體" w:hAnsi="標楷體" w:cs="新細明體" w:hint="eastAsia"/>
                <w:bCs/>
                <w:kern w:val="0"/>
              </w:rPr>
              <w:t>為強化</w:t>
            </w:r>
            <w:r w:rsidR="002E1594" w:rsidRPr="009248DC">
              <w:rPr>
                <w:rFonts w:ascii="標楷體" w:eastAsia="標楷體" w:hAnsi="標楷體" w:cs="新細明體" w:hint="eastAsia"/>
                <w:bCs/>
                <w:kern w:val="0"/>
              </w:rPr>
              <w:t>中型</w:t>
            </w:r>
            <w:r w:rsidR="00C44045" w:rsidRPr="009248DC">
              <w:rPr>
                <w:rFonts w:ascii="標楷體" w:eastAsia="標楷體" w:hAnsi="標楷體" w:cs="新細明體" w:hint="eastAsia"/>
                <w:bCs/>
                <w:kern w:val="0"/>
              </w:rPr>
              <w:t>保險代理人公司、</w:t>
            </w:r>
            <w:r w:rsidR="00EF0534" w:rsidRPr="009248DC">
              <w:rPr>
                <w:rFonts w:ascii="標楷體" w:eastAsia="標楷體" w:hAnsi="標楷體" w:cs="新細明體" w:hint="eastAsia"/>
                <w:bCs/>
                <w:kern w:val="0"/>
              </w:rPr>
              <w:t>保險</w:t>
            </w:r>
            <w:r w:rsidR="00C44045" w:rsidRPr="009248DC">
              <w:rPr>
                <w:rFonts w:ascii="標楷體" w:eastAsia="標楷體" w:hAnsi="標楷體" w:cs="新細明體" w:hint="eastAsia"/>
                <w:bCs/>
                <w:kern w:val="0"/>
              </w:rPr>
              <w:t>經紀人公司健全業務經營，確保其財務安全，並協助企業經營者建立嚴密之內部控制制度，作為企業管理階層自我檢測稽核體系之重要依據，藉知管理缺失，防微杜漸，第一項爰增訂第三款</w:t>
            </w:r>
            <w:r w:rsidR="007B141E" w:rsidRPr="009248DC">
              <w:rPr>
                <w:rFonts w:ascii="標楷體" w:eastAsia="標楷體" w:hAnsi="標楷體" w:cs="新細明體" w:hint="eastAsia"/>
                <w:bCs/>
                <w:kern w:val="0"/>
              </w:rPr>
              <w:t>，</w:t>
            </w:r>
            <w:r w:rsidR="00C44045" w:rsidRPr="009248DC">
              <w:rPr>
                <w:rFonts w:ascii="標楷體" w:eastAsia="標楷體" w:hAnsi="標楷體" w:cs="新細明體" w:hint="eastAsia"/>
                <w:bCs/>
                <w:kern w:val="0"/>
              </w:rPr>
              <w:t>公司年度營業收入達新臺幣五千萬元</w:t>
            </w:r>
            <w:r w:rsidR="00EF0534" w:rsidRPr="009248DC">
              <w:rPr>
                <w:rFonts w:ascii="標楷體" w:eastAsia="標楷體" w:hAnsi="標楷體" w:cs="新細明體" w:hint="eastAsia"/>
                <w:bCs/>
                <w:kern w:val="0"/>
              </w:rPr>
              <w:t>以上未達新臺幣一億元</w:t>
            </w:r>
            <w:r w:rsidR="00C44045" w:rsidRPr="009248DC">
              <w:rPr>
                <w:rFonts w:ascii="標楷體" w:eastAsia="標楷體" w:hAnsi="標楷體" w:cs="新細明體" w:hint="eastAsia"/>
                <w:bCs/>
                <w:kern w:val="0"/>
              </w:rPr>
              <w:t>者，應於次</w:t>
            </w:r>
            <w:r w:rsidR="007B373A" w:rsidRPr="009248DC">
              <w:rPr>
                <w:rFonts w:ascii="標楷體" w:eastAsia="標楷體" w:hAnsi="標楷體" w:cs="新細明體" w:hint="eastAsia"/>
                <w:bCs/>
                <w:kern w:val="0"/>
              </w:rPr>
              <w:t>三</w:t>
            </w:r>
            <w:r w:rsidR="00C44045" w:rsidRPr="009248DC">
              <w:rPr>
                <w:rFonts w:ascii="標楷體" w:eastAsia="標楷體" w:hAnsi="標楷體" w:cs="新細明體" w:hint="eastAsia"/>
                <w:bCs/>
                <w:kern w:val="0"/>
              </w:rPr>
              <w:t>年內依本辦法建立內部控制、稽核制度與招攬處理制度及程序。</w:t>
            </w:r>
          </w:p>
          <w:p w:rsidR="00C44045" w:rsidRPr="009248DC" w:rsidRDefault="00C44045" w:rsidP="006F3B5C">
            <w:pPr>
              <w:ind w:left="437" w:hangingChars="182" w:hanging="437"/>
              <w:jc w:val="both"/>
              <w:rPr>
                <w:rFonts w:ascii="標楷體" w:eastAsia="標楷體" w:hAnsi="標楷體" w:cs="新細明體"/>
                <w:bCs/>
                <w:kern w:val="0"/>
              </w:rPr>
            </w:pPr>
            <w:r w:rsidRPr="009248DC">
              <w:rPr>
                <w:rFonts w:ascii="標楷體" w:eastAsia="標楷體" w:hAnsi="標楷體" w:cs="新細明體" w:hint="eastAsia"/>
                <w:bCs/>
                <w:kern w:val="0"/>
              </w:rPr>
              <w:t>二、為使適用範圍更為明確，爰修正第一項第一款及第二款文字。</w:t>
            </w:r>
          </w:p>
          <w:p w:rsidR="00C44045" w:rsidRPr="009248DC" w:rsidRDefault="00C44045" w:rsidP="006F3B5C">
            <w:pPr>
              <w:ind w:left="437" w:hangingChars="182" w:hanging="437"/>
              <w:jc w:val="both"/>
              <w:rPr>
                <w:rFonts w:ascii="標楷體" w:eastAsia="標楷體" w:hAnsi="標楷體" w:cs="新細明體"/>
                <w:bCs/>
                <w:kern w:val="0"/>
              </w:rPr>
            </w:pPr>
            <w:r w:rsidRPr="009248DC">
              <w:rPr>
                <w:rFonts w:ascii="標楷體" w:eastAsia="標楷體" w:hAnsi="標楷體" w:cs="新細明體" w:hint="eastAsia"/>
                <w:bCs/>
                <w:kern w:val="0"/>
              </w:rPr>
              <w:t>三、配合引用法規名稱修正，修正第二項文字。</w:t>
            </w:r>
          </w:p>
        </w:tc>
      </w:tr>
      <w:tr w:rsidR="009248DC" w:rsidRPr="009248DC" w:rsidTr="00EF1CA8">
        <w:tc>
          <w:tcPr>
            <w:tcW w:w="2965" w:type="dxa"/>
          </w:tcPr>
          <w:p w:rsidR="00C44045" w:rsidRPr="009248DC" w:rsidRDefault="00C44045" w:rsidP="004762D0">
            <w:pPr>
              <w:ind w:left="271" w:hangingChars="113" w:hanging="271"/>
              <w:jc w:val="both"/>
              <w:rPr>
                <w:rFonts w:ascii="標楷體" w:eastAsia="標楷體" w:hAnsi="標楷體" w:cs="新細明體"/>
                <w:bCs/>
                <w:kern w:val="0"/>
              </w:rPr>
            </w:pPr>
            <w:r w:rsidRPr="009248DC">
              <w:rPr>
                <w:rFonts w:ascii="標楷體" w:eastAsia="標楷體" w:hAnsi="標楷體" w:cs="新細明體" w:hint="eastAsia"/>
                <w:bCs/>
                <w:kern w:val="0"/>
              </w:rPr>
              <w:t>第九條</w:t>
            </w:r>
            <w:r w:rsidRPr="009248DC">
              <w:rPr>
                <w:rFonts w:ascii="標楷體" w:eastAsia="標楷體" w:hAnsi="標楷體" w:cs="新細明體"/>
                <w:bCs/>
                <w:kern w:val="0"/>
              </w:rPr>
              <w:t xml:space="preserve">  </w:t>
            </w:r>
            <w:r w:rsidRPr="009248DC">
              <w:rPr>
                <w:rFonts w:ascii="標楷體" w:eastAsia="標楷體" w:hAnsi="標楷體" w:cs="細明體" w:hint="eastAsia"/>
              </w:rPr>
              <w:t>保險代理人公司、保險經紀人公司為維持有效之內部控制制度運作，達成第三條所定內部控制之目標，應配合採行下列措施：</w:t>
            </w:r>
          </w:p>
          <w:p w:rsidR="00C44045" w:rsidRPr="009248DC" w:rsidRDefault="00C44045" w:rsidP="00476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1" w:hangingChars="188" w:hanging="451"/>
              <w:jc w:val="both"/>
              <w:rPr>
                <w:rFonts w:ascii="標楷體" w:eastAsia="標楷體" w:hAnsi="標楷體" w:cs="細明體"/>
              </w:rPr>
            </w:pPr>
            <w:r w:rsidRPr="009248DC">
              <w:rPr>
                <w:rFonts w:ascii="標楷體" w:eastAsia="標楷體" w:hAnsi="標楷體" w:cs="細明體" w:hint="eastAsia"/>
              </w:rPr>
              <w:t>一、內部稽核制度：設置稽核人員，負責查</w:t>
            </w:r>
            <w:r w:rsidRPr="009248DC">
              <w:rPr>
                <w:rFonts w:ascii="標楷體" w:eastAsia="標楷體" w:hAnsi="標楷體" w:cs="細明體" w:hint="eastAsia"/>
              </w:rPr>
              <w:lastRenderedPageBreak/>
              <w:t>核各單位，並定期評估營業單位自行查核辦理績效。</w:t>
            </w:r>
          </w:p>
          <w:p w:rsidR="00C44045" w:rsidRPr="009248DC" w:rsidRDefault="00C44045" w:rsidP="00476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1" w:hangingChars="188" w:hanging="451"/>
              <w:jc w:val="both"/>
              <w:rPr>
                <w:rFonts w:ascii="標楷體" w:eastAsia="標楷體" w:hAnsi="標楷體" w:cs="細明體"/>
              </w:rPr>
            </w:pPr>
            <w:r w:rsidRPr="009248DC">
              <w:rPr>
                <w:rFonts w:ascii="標楷體" w:eastAsia="標楷體" w:hAnsi="標楷體" w:cs="細明體" w:hint="eastAsia"/>
              </w:rPr>
              <w:t>二、自行查核制度：由不同單位成員相互查核內部控制實際執行情形，並由各單位指派主管或相當職級以上人員負責督導執行，以便及早發現經營缺失並適時予以改正。</w:t>
            </w:r>
          </w:p>
          <w:p w:rsidR="00C44045" w:rsidRPr="009248DC" w:rsidRDefault="00C44045" w:rsidP="00476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1" w:hangingChars="188" w:hanging="451"/>
              <w:jc w:val="both"/>
              <w:rPr>
                <w:rFonts w:ascii="標楷體" w:eastAsia="標楷體" w:hAnsi="標楷體" w:cs="細明體"/>
                <w:u w:val="single"/>
              </w:rPr>
            </w:pPr>
            <w:r w:rsidRPr="009248DC">
              <w:rPr>
                <w:rFonts w:ascii="標楷體" w:eastAsia="標楷體" w:hAnsi="標楷體" w:cs="細明體" w:hint="eastAsia"/>
              </w:rPr>
              <w:t>三、會計師查核制度：年度財務報表依規定或已辦理委由會計師辦理查核簽證者，應委託會計師辦理內部控制制度之查核。</w:t>
            </w:r>
            <w:r w:rsidRPr="009248DC">
              <w:rPr>
                <w:rFonts w:ascii="標楷體" w:eastAsia="標楷體" w:hAnsi="標楷體" w:cs="細明體" w:hint="eastAsia"/>
                <w:u w:val="single"/>
              </w:rPr>
              <w:t>但本辦法另有規定者，不在此限。</w:t>
            </w:r>
          </w:p>
          <w:p w:rsidR="00C44045" w:rsidRPr="009248DC" w:rsidRDefault="00C44045" w:rsidP="00476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1" w:hangingChars="188" w:hanging="451"/>
              <w:jc w:val="both"/>
              <w:rPr>
                <w:rFonts w:ascii="細明體" w:eastAsia="細明體" w:hAnsi="細明體" w:cs="細明體"/>
                <w:sz w:val="23"/>
                <w:szCs w:val="23"/>
              </w:rPr>
            </w:pPr>
            <w:r w:rsidRPr="009248DC">
              <w:rPr>
                <w:rFonts w:ascii="標楷體" w:eastAsia="標楷體" w:hAnsi="標楷體" w:cs="細明體" w:hint="eastAsia"/>
              </w:rPr>
              <w:t>四、法令遵循制度：設置法令遵循人員，負責適切檢測各業務經辦人員執行業務是否確實遵循相關法令。</w:t>
            </w:r>
          </w:p>
        </w:tc>
        <w:tc>
          <w:tcPr>
            <w:tcW w:w="2966" w:type="dxa"/>
          </w:tcPr>
          <w:p w:rsidR="00C44045" w:rsidRPr="009248DC" w:rsidRDefault="00C44045" w:rsidP="008F171E">
            <w:pPr>
              <w:ind w:left="271" w:hangingChars="113" w:hanging="271"/>
              <w:jc w:val="both"/>
              <w:rPr>
                <w:rFonts w:ascii="標楷體" w:eastAsia="標楷體" w:hAnsi="標楷體" w:cs="新細明體"/>
                <w:bCs/>
                <w:kern w:val="0"/>
              </w:rPr>
            </w:pPr>
            <w:r w:rsidRPr="009248DC">
              <w:rPr>
                <w:rFonts w:ascii="標楷體" w:eastAsia="標楷體" w:hAnsi="標楷體" w:cs="新細明體" w:hint="eastAsia"/>
                <w:bCs/>
                <w:kern w:val="0"/>
              </w:rPr>
              <w:lastRenderedPageBreak/>
              <w:t>第九條</w:t>
            </w:r>
            <w:r w:rsidRPr="009248DC">
              <w:rPr>
                <w:rFonts w:ascii="標楷體" w:eastAsia="標楷體" w:hAnsi="標楷體" w:cs="新細明體"/>
                <w:bCs/>
                <w:kern w:val="0"/>
              </w:rPr>
              <w:t xml:space="preserve">  </w:t>
            </w:r>
            <w:r w:rsidRPr="009248DC">
              <w:rPr>
                <w:rFonts w:ascii="標楷體" w:eastAsia="標楷體" w:hAnsi="標楷體" w:cs="細明體" w:hint="eastAsia"/>
              </w:rPr>
              <w:t>保險代理人公司、保險經紀人公司為維持有效之內部控制制度運作，達成第三條所定內部控制之目標，應配合採行下列措施：</w:t>
            </w:r>
          </w:p>
          <w:p w:rsidR="00C44045" w:rsidRPr="009248DC" w:rsidRDefault="00C44045" w:rsidP="008F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1" w:hangingChars="188" w:hanging="451"/>
              <w:jc w:val="both"/>
              <w:rPr>
                <w:rFonts w:ascii="標楷體" w:eastAsia="標楷體" w:hAnsi="標楷體" w:cs="細明體"/>
              </w:rPr>
            </w:pPr>
            <w:r w:rsidRPr="009248DC">
              <w:rPr>
                <w:rFonts w:ascii="標楷體" w:eastAsia="標楷體" w:hAnsi="標楷體" w:cs="細明體" w:hint="eastAsia"/>
              </w:rPr>
              <w:t>一、內部稽核制度：設置稽核人員，負責查</w:t>
            </w:r>
            <w:r w:rsidRPr="009248DC">
              <w:rPr>
                <w:rFonts w:ascii="標楷體" w:eastAsia="標楷體" w:hAnsi="標楷體" w:cs="細明體" w:hint="eastAsia"/>
              </w:rPr>
              <w:lastRenderedPageBreak/>
              <w:t>核各單位，並定期評估營業單位自行查核辦理績效。</w:t>
            </w:r>
          </w:p>
          <w:p w:rsidR="00C44045" w:rsidRPr="009248DC" w:rsidRDefault="00C44045" w:rsidP="008F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1" w:hangingChars="188" w:hanging="451"/>
              <w:jc w:val="both"/>
              <w:rPr>
                <w:rFonts w:ascii="標楷體" w:eastAsia="標楷體" w:hAnsi="標楷體" w:cs="細明體"/>
              </w:rPr>
            </w:pPr>
            <w:r w:rsidRPr="009248DC">
              <w:rPr>
                <w:rFonts w:ascii="標楷體" w:eastAsia="標楷體" w:hAnsi="標楷體" w:cs="細明體" w:hint="eastAsia"/>
              </w:rPr>
              <w:t>二、自行查核制度：由不同單位成員相互查核內部控制實際執行情形，並由各單位指派主管或相當職級以上人員負責督導執行，以便及早發現經營缺失並適時予以改正。</w:t>
            </w:r>
          </w:p>
          <w:p w:rsidR="00C44045" w:rsidRPr="009248DC" w:rsidRDefault="00C44045" w:rsidP="008F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1" w:hangingChars="188" w:hanging="451"/>
              <w:jc w:val="both"/>
              <w:rPr>
                <w:rFonts w:ascii="標楷體" w:eastAsia="標楷體" w:hAnsi="標楷體" w:cs="細明體"/>
              </w:rPr>
            </w:pPr>
            <w:r w:rsidRPr="009248DC">
              <w:rPr>
                <w:rFonts w:ascii="標楷體" w:eastAsia="標楷體" w:hAnsi="標楷體" w:cs="細明體" w:hint="eastAsia"/>
              </w:rPr>
              <w:t>三、會計師查核制度：年度財務報表依規定或已辦理委由會計師辦理查核簽證者，應委託會計師辦理內部控制制度之查核。</w:t>
            </w:r>
          </w:p>
          <w:p w:rsidR="00C44045" w:rsidRPr="009248DC" w:rsidRDefault="00C44045" w:rsidP="008F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1" w:hangingChars="188" w:hanging="451"/>
              <w:jc w:val="both"/>
              <w:rPr>
                <w:rFonts w:ascii="細明體" w:eastAsia="細明體" w:hAnsi="細明體" w:cs="細明體"/>
                <w:sz w:val="23"/>
                <w:szCs w:val="23"/>
              </w:rPr>
            </w:pPr>
            <w:r w:rsidRPr="009248DC">
              <w:rPr>
                <w:rFonts w:ascii="標楷體" w:eastAsia="標楷體" w:hAnsi="標楷體" w:cs="細明體" w:hint="eastAsia"/>
              </w:rPr>
              <w:t>四、法令遵循制度：設置法令遵循人員，負責適切檢測各業務經辦人員執行業務是否確實遵循相關法令。</w:t>
            </w:r>
          </w:p>
        </w:tc>
        <w:tc>
          <w:tcPr>
            <w:tcW w:w="2966" w:type="dxa"/>
          </w:tcPr>
          <w:p w:rsidR="00C44045" w:rsidRPr="009248DC" w:rsidRDefault="00C44045" w:rsidP="002F2335">
            <w:pPr>
              <w:ind w:left="5" w:hangingChars="2" w:hanging="5"/>
              <w:jc w:val="both"/>
              <w:rPr>
                <w:rFonts w:ascii="標楷體" w:eastAsia="標楷體" w:hAnsi="標楷體" w:cs="新細明體"/>
                <w:bCs/>
                <w:kern w:val="0"/>
              </w:rPr>
            </w:pPr>
            <w:r w:rsidRPr="009248DC">
              <w:rPr>
                <w:rFonts w:ascii="標楷體" w:eastAsia="標楷體" w:hAnsi="標楷體" w:cs="新細明體" w:hint="eastAsia"/>
                <w:bCs/>
                <w:kern w:val="0"/>
              </w:rPr>
              <w:lastRenderedPageBreak/>
              <w:t>配合第二十四條修正，增列第三款但書規定。</w:t>
            </w:r>
          </w:p>
        </w:tc>
      </w:tr>
      <w:tr w:rsidR="009248DC" w:rsidRPr="009248DC" w:rsidTr="00EF1CA8">
        <w:tc>
          <w:tcPr>
            <w:tcW w:w="2965" w:type="dxa"/>
          </w:tcPr>
          <w:p w:rsidR="00EF0534" w:rsidRPr="009248DC" w:rsidRDefault="00C44045" w:rsidP="007559A0">
            <w:pPr>
              <w:ind w:left="271" w:hangingChars="113" w:hanging="271"/>
              <w:jc w:val="both"/>
              <w:rPr>
                <w:rFonts w:ascii="標楷體" w:eastAsia="標楷體" w:hAnsi="標楷體" w:cs="新細明體"/>
                <w:bCs/>
                <w:kern w:val="0"/>
              </w:rPr>
            </w:pPr>
            <w:r w:rsidRPr="009248DC">
              <w:rPr>
                <w:rFonts w:ascii="標楷體" w:eastAsia="標楷體" w:hAnsi="標楷體" w:cs="新細明體" w:hint="eastAsia"/>
                <w:bCs/>
                <w:kern w:val="0"/>
              </w:rPr>
              <w:lastRenderedPageBreak/>
              <w:t>第十二條</w:t>
            </w:r>
            <w:r w:rsidRPr="009248DC">
              <w:rPr>
                <w:rFonts w:ascii="標楷體" w:eastAsia="標楷體" w:hAnsi="標楷體" w:cs="新細明體"/>
                <w:bCs/>
                <w:kern w:val="0"/>
              </w:rPr>
              <w:t xml:space="preserve">  </w:t>
            </w:r>
            <w:r w:rsidRPr="009248DC">
              <w:rPr>
                <w:rFonts w:ascii="標楷體" w:eastAsia="標楷體" w:hAnsi="標楷體" w:cs="新細明體" w:hint="eastAsia"/>
                <w:bCs/>
                <w:kern w:val="0"/>
              </w:rPr>
              <w:t>保險代理人公司、保險經紀人公司應置適任及適當人數之稽核人員，隸屬於董事會，負責稽核業務，其不得兼任與稽核工作有相互衝突或牽制之職務，並至少每年向公司董事會及監察人報告稽核業務。</w:t>
            </w:r>
          </w:p>
          <w:p w:rsidR="00C44045" w:rsidRPr="009248DC" w:rsidRDefault="00C44045" w:rsidP="00EF0534">
            <w:pPr>
              <w:ind w:leftChars="112" w:left="269" w:firstLineChars="219" w:firstLine="526"/>
              <w:jc w:val="both"/>
              <w:rPr>
                <w:rFonts w:ascii="標楷體" w:eastAsia="標楷體" w:hAnsi="標楷體" w:cs="新細明體"/>
                <w:bCs/>
                <w:kern w:val="0"/>
                <w:u w:val="single"/>
              </w:rPr>
            </w:pPr>
            <w:r w:rsidRPr="009248DC">
              <w:rPr>
                <w:rFonts w:ascii="標楷體" w:eastAsia="標楷體" w:hAnsi="標楷體" w:cs="新細明體" w:hint="eastAsia"/>
                <w:bCs/>
                <w:kern w:val="0"/>
                <w:u w:val="single"/>
              </w:rPr>
              <w:t>符合第二條第一項第三款者，其聘任之稽</w:t>
            </w:r>
            <w:r w:rsidRPr="009248DC">
              <w:rPr>
                <w:rFonts w:ascii="標楷體" w:eastAsia="標楷體" w:hAnsi="標楷體" w:cs="新細明體" w:hint="eastAsia"/>
                <w:bCs/>
                <w:kern w:val="0"/>
                <w:u w:val="single"/>
              </w:rPr>
              <w:lastRenderedPageBreak/>
              <w:t>核人員得不隸屬於董事會並得兼任公司其他工作</w:t>
            </w:r>
            <w:r w:rsidR="006C7705">
              <w:rPr>
                <w:rFonts w:ascii="標楷體" w:eastAsia="標楷體" w:hAnsi="標楷體" w:cs="新細明體" w:hint="eastAsia"/>
                <w:bCs/>
                <w:kern w:val="0"/>
                <w:u w:val="single"/>
              </w:rPr>
              <w:t>。</w:t>
            </w:r>
            <w:r w:rsidR="00EF0534" w:rsidRPr="009248DC">
              <w:rPr>
                <w:rFonts w:ascii="標楷體" w:eastAsia="標楷體" w:hAnsi="標楷體" w:cs="新細明體" w:hint="eastAsia"/>
                <w:bCs/>
                <w:kern w:val="0"/>
                <w:u w:val="single"/>
              </w:rPr>
              <w:t>但不得辦理稽核與自身有利害關係或利益衝突之案件</w:t>
            </w:r>
            <w:r w:rsidRPr="009248DC">
              <w:rPr>
                <w:rFonts w:ascii="標楷體" w:eastAsia="標楷體" w:hAnsi="標楷體" w:cs="新細明體" w:hint="eastAsia"/>
                <w:bCs/>
                <w:kern w:val="0"/>
                <w:u w:val="single"/>
              </w:rPr>
              <w:t>。</w:t>
            </w:r>
          </w:p>
          <w:p w:rsidR="00C44045" w:rsidRPr="009248DC" w:rsidRDefault="00C44045" w:rsidP="007559A0">
            <w:pPr>
              <w:ind w:leftChars="125" w:left="300" w:firstLineChars="215" w:firstLine="516"/>
              <w:jc w:val="both"/>
              <w:rPr>
                <w:rFonts w:ascii="標楷體" w:eastAsia="標楷體" w:hAnsi="標楷體" w:cs="新細明體"/>
                <w:bCs/>
                <w:kern w:val="0"/>
              </w:rPr>
            </w:pPr>
            <w:r w:rsidRPr="009248DC">
              <w:rPr>
                <w:rFonts w:ascii="標楷體" w:eastAsia="標楷體" w:hAnsi="標楷體" w:cs="新細明體" w:hint="eastAsia"/>
                <w:bCs/>
                <w:kern w:val="0"/>
              </w:rPr>
              <w:t>稽核人員之委任、解任或調職，應經董事會通過，並以主管機關指定之方式申報，且建檔留存確認文件及紀錄。</w:t>
            </w:r>
          </w:p>
          <w:p w:rsidR="00C44045" w:rsidRPr="009248DC" w:rsidRDefault="00C44045" w:rsidP="007559A0">
            <w:pPr>
              <w:ind w:leftChars="125" w:left="300" w:firstLineChars="215" w:firstLine="516"/>
              <w:jc w:val="both"/>
              <w:rPr>
                <w:rFonts w:ascii="標楷體" w:eastAsia="標楷體" w:hAnsi="標楷體" w:cs="新細明體"/>
                <w:bCs/>
                <w:kern w:val="0"/>
              </w:rPr>
            </w:pPr>
            <w:r w:rsidRPr="009248DC">
              <w:rPr>
                <w:rFonts w:ascii="標楷體" w:eastAsia="標楷體" w:hAnsi="標楷體" w:cs="新細明體" w:hint="eastAsia"/>
                <w:bCs/>
                <w:kern w:val="0"/>
              </w:rPr>
              <w:t>為落實內部控制制度，強化內部稽核人員代理人專業能力，以提升及維持稽核品質及執行效果，公司應設置內部稽核人員之職務代理人。</w:t>
            </w:r>
          </w:p>
          <w:p w:rsidR="00C44045" w:rsidRPr="009248DC" w:rsidRDefault="00C44045" w:rsidP="007559A0">
            <w:pPr>
              <w:ind w:leftChars="125" w:left="300" w:firstLineChars="215" w:firstLine="516"/>
              <w:jc w:val="both"/>
              <w:rPr>
                <w:rFonts w:ascii="標楷體" w:eastAsia="標楷體" w:hAnsi="標楷體" w:cs="新細明體"/>
                <w:bCs/>
                <w:kern w:val="0"/>
              </w:rPr>
            </w:pPr>
            <w:r w:rsidRPr="009248DC">
              <w:rPr>
                <w:rFonts w:ascii="標楷體" w:eastAsia="標楷體" w:hAnsi="標楷體" w:cs="新細明體" w:hint="eastAsia"/>
                <w:bCs/>
                <w:kern w:val="0"/>
              </w:rPr>
              <w:t>前項職務代理人，準用第十四條至第十六條及第二十條規定。</w:t>
            </w:r>
          </w:p>
        </w:tc>
        <w:tc>
          <w:tcPr>
            <w:tcW w:w="2966" w:type="dxa"/>
          </w:tcPr>
          <w:p w:rsidR="00C44045" w:rsidRPr="009248DC" w:rsidRDefault="00C44045" w:rsidP="007559A0">
            <w:pPr>
              <w:ind w:left="240" w:hangingChars="100" w:hanging="240"/>
              <w:jc w:val="both"/>
              <w:rPr>
                <w:rFonts w:ascii="標楷體" w:eastAsia="標楷體" w:hAnsi="標楷體" w:cs="新細明體"/>
                <w:bCs/>
                <w:kern w:val="0"/>
              </w:rPr>
            </w:pPr>
            <w:r w:rsidRPr="009248DC">
              <w:rPr>
                <w:rFonts w:ascii="標楷體" w:eastAsia="標楷體" w:hAnsi="標楷體" w:cs="新細明體" w:hint="eastAsia"/>
                <w:bCs/>
                <w:kern w:val="0"/>
              </w:rPr>
              <w:lastRenderedPageBreak/>
              <w:t>第十二條</w:t>
            </w:r>
            <w:r w:rsidRPr="009248DC">
              <w:rPr>
                <w:rFonts w:ascii="標楷體" w:eastAsia="標楷體" w:hAnsi="標楷體" w:cs="新細明體"/>
                <w:bCs/>
                <w:kern w:val="0"/>
              </w:rPr>
              <w:t xml:space="preserve"> </w:t>
            </w:r>
            <w:r w:rsidRPr="009248DC">
              <w:rPr>
                <w:rFonts w:ascii="標楷體" w:eastAsia="標楷體" w:hAnsi="標楷體" w:cs="新細明體" w:hint="eastAsia"/>
                <w:bCs/>
                <w:kern w:val="0"/>
              </w:rPr>
              <w:t>保險代理人公司、保險經紀人公司應置適任及適當人數之稽核人員，隸屬於董事會，負責稽核業務，其不得兼任與稽核工作有相互衝突或牽制之職務，並至少每年向公司董事會及監察人報告稽核業務。</w:t>
            </w:r>
          </w:p>
          <w:p w:rsidR="00C44045" w:rsidRPr="009248DC" w:rsidRDefault="00C44045" w:rsidP="007559A0">
            <w:pPr>
              <w:ind w:leftChars="95" w:left="228" w:firstLineChars="227" w:firstLine="545"/>
              <w:jc w:val="both"/>
              <w:rPr>
                <w:rFonts w:ascii="標楷體" w:eastAsia="標楷體" w:hAnsi="標楷體" w:cs="新細明體"/>
                <w:bCs/>
                <w:kern w:val="0"/>
              </w:rPr>
            </w:pPr>
            <w:r w:rsidRPr="009248DC">
              <w:rPr>
                <w:rFonts w:ascii="標楷體" w:eastAsia="標楷體" w:hAnsi="標楷體" w:cs="新細明體" w:hint="eastAsia"/>
                <w:bCs/>
                <w:kern w:val="0"/>
              </w:rPr>
              <w:t>稽核人員之委任、解任或調職，應經董事會</w:t>
            </w:r>
            <w:r w:rsidRPr="009248DC">
              <w:rPr>
                <w:rFonts w:ascii="標楷體" w:eastAsia="標楷體" w:hAnsi="標楷體" w:cs="新細明體" w:hint="eastAsia"/>
                <w:bCs/>
                <w:kern w:val="0"/>
              </w:rPr>
              <w:lastRenderedPageBreak/>
              <w:t>通過，並以主管機關指定之方式申報，且建檔留存確認文件及紀錄。</w:t>
            </w:r>
          </w:p>
          <w:p w:rsidR="00C44045" w:rsidRPr="009248DC" w:rsidRDefault="00C44045" w:rsidP="007559A0">
            <w:pPr>
              <w:ind w:leftChars="95" w:left="228" w:firstLineChars="227" w:firstLine="545"/>
              <w:jc w:val="both"/>
              <w:rPr>
                <w:rFonts w:ascii="標楷體" w:eastAsia="標楷體" w:hAnsi="標楷體" w:cs="新細明體"/>
                <w:bCs/>
                <w:kern w:val="0"/>
              </w:rPr>
            </w:pPr>
            <w:r w:rsidRPr="009248DC">
              <w:rPr>
                <w:rFonts w:ascii="標楷體" w:eastAsia="標楷體" w:hAnsi="標楷體" w:cs="新細明體" w:hint="eastAsia"/>
                <w:bCs/>
                <w:kern w:val="0"/>
              </w:rPr>
              <w:t>為落實內部控制制度，強化內部稽核人員代理人專業能力，以提升及維持稽核品質及執行效果，公司應設置內部稽核人員之職務代理人。</w:t>
            </w:r>
          </w:p>
          <w:p w:rsidR="00C44045" w:rsidRPr="009248DC" w:rsidRDefault="00C44045" w:rsidP="007559A0">
            <w:pPr>
              <w:ind w:leftChars="95" w:left="228" w:firstLineChars="227" w:firstLine="545"/>
              <w:jc w:val="both"/>
              <w:rPr>
                <w:rFonts w:ascii="標楷體" w:eastAsia="標楷體" w:hAnsi="標楷體" w:cs="新細明體"/>
                <w:bCs/>
                <w:kern w:val="0"/>
              </w:rPr>
            </w:pPr>
            <w:r w:rsidRPr="009248DC">
              <w:rPr>
                <w:rFonts w:ascii="標楷體" w:eastAsia="標楷體" w:hAnsi="標楷體" w:cs="新細明體" w:hint="eastAsia"/>
                <w:bCs/>
                <w:kern w:val="0"/>
              </w:rPr>
              <w:t>前項職務代理人，準用第十四條至第十六條及第二十條規定。</w:t>
            </w:r>
          </w:p>
        </w:tc>
        <w:tc>
          <w:tcPr>
            <w:tcW w:w="2966" w:type="dxa"/>
          </w:tcPr>
          <w:p w:rsidR="00C44045" w:rsidRPr="009248DC" w:rsidRDefault="00C44045" w:rsidP="00A74377">
            <w:pPr>
              <w:ind w:left="19" w:hangingChars="8" w:hanging="19"/>
              <w:jc w:val="both"/>
              <w:rPr>
                <w:rFonts w:ascii="標楷體" w:eastAsia="標楷體" w:hAnsi="標楷體" w:cs="新細明體"/>
                <w:bCs/>
                <w:kern w:val="0"/>
              </w:rPr>
            </w:pPr>
            <w:r w:rsidRPr="009248DC">
              <w:rPr>
                <w:rFonts w:ascii="標楷體" w:eastAsia="標楷體" w:hAnsi="標楷體" w:cs="新細明體" w:hint="eastAsia"/>
                <w:bCs/>
                <w:kern w:val="0"/>
              </w:rPr>
              <w:lastRenderedPageBreak/>
              <w:t>為減輕年度營業收入達</w:t>
            </w:r>
            <w:r w:rsidR="00EF0534" w:rsidRPr="009248DC">
              <w:rPr>
                <w:rFonts w:ascii="標楷體" w:eastAsia="標楷體" w:hAnsi="標楷體" w:cs="新細明體" w:hint="eastAsia"/>
                <w:bCs/>
                <w:kern w:val="0"/>
              </w:rPr>
              <w:t>新臺幣</w:t>
            </w:r>
            <w:r w:rsidRPr="009248DC">
              <w:rPr>
                <w:rFonts w:ascii="標楷體" w:eastAsia="標楷體" w:hAnsi="標楷體" w:cs="新細明體" w:hint="eastAsia"/>
                <w:bCs/>
                <w:kern w:val="0"/>
              </w:rPr>
              <w:t>五千萬元</w:t>
            </w:r>
            <w:r w:rsidR="00EF0534" w:rsidRPr="009248DC">
              <w:rPr>
                <w:rFonts w:ascii="標楷體" w:eastAsia="標楷體" w:hAnsi="標楷體" w:cs="新細明體" w:hint="eastAsia"/>
                <w:bCs/>
                <w:kern w:val="0"/>
              </w:rPr>
              <w:t>以上未達新臺幣一億元</w:t>
            </w:r>
            <w:r w:rsidRPr="009248DC">
              <w:rPr>
                <w:rFonts w:ascii="標楷體" w:eastAsia="標楷體" w:hAnsi="標楷體" w:cs="新細明體" w:hint="eastAsia"/>
                <w:bCs/>
                <w:kern w:val="0"/>
              </w:rPr>
              <w:t>之中型保險代理人公司、保險經紀人公司實施內部控制之成本，爰增訂</w:t>
            </w:r>
            <w:r w:rsidR="00EF0534" w:rsidRPr="009248DC">
              <w:rPr>
                <w:rFonts w:ascii="標楷體" w:eastAsia="標楷體" w:hAnsi="標楷體" w:cs="新細明體" w:hint="eastAsia"/>
                <w:bCs/>
                <w:kern w:val="0"/>
              </w:rPr>
              <w:t>第二項，明定</w:t>
            </w:r>
            <w:r w:rsidRPr="009248DC">
              <w:rPr>
                <w:rFonts w:ascii="標楷體" w:eastAsia="標楷體" w:hAnsi="標楷體" w:cs="新細明體" w:hint="eastAsia"/>
                <w:bCs/>
                <w:kern w:val="0"/>
              </w:rPr>
              <w:t>符合第二條第一項第三款者，其聘任</w:t>
            </w:r>
            <w:r w:rsidR="00A74377" w:rsidRPr="009248DC">
              <w:rPr>
                <w:rFonts w:ascii="標楷體" w:eastAsia="標楷體" w:hAnsi="標楷體" w:cs="新細明體" w:hint="eastAsia"/>
                <w:bCs/>
                <w:kern w:val="0"/>
              </w:rPr>
              <w:t>之</w:t>
            </w:r>
            <w:r w:rsidRPr="009248DC">
              <w:rPr>
                <w:rFonts w:ascii="標楷體" w:eastAsia="標楷體" w:hAnsi="標楷體" w:cs="新細明體" w:hint="eastAsia"/>
                <w:bCs/>
                <w:kern w:val="0"/>
              </w:rPr>
              <w:t>稽核人員</w:t>
            </w:r>
            <w:r w:rsidR="00EF0534" w:rsidRPr="009248DC">
              <w:rPr>
                <w:rFonts w:ascii="標楷體" w:eastAsia="標楷體" w:hAnsi="標楷體" w:cs="新細明體" w:hint="eastAsia"/>
                <w:bCs/>
                <w:kern w:val="0"/>
              </w:rPr>
              <w:t>初期</w:t>
            </w:r>
            <w:r w:rsidRPr="009248DC">
              <w:rPr>
                <w:rFonts w:ascii="標楷體" w:eastAsia="標楷體" w:hAnsi="標楷體" w:cs="新細明體" w:hint="eastAsia"/>
                <w:bCs/>
                <w:kern w:val="0"/>
              </w:rPr>
              <w:t>得不隸屬於董事會並得兼任公司其他工作</w:t>
            </w:r>
            <w:r w:rsidR="00A74377" w:rsidRPr="009248DC">
              <w:rPr>
                <w:rFonts w:ascii="標楷體" w:eastAsia="標楷體" w:hAnsi="標楷體" w:cs="新細明體" w:hint="eastAsia"/>
                <w:bCs/>
                <w:kern w:val="0"/>
              </w:rPr>
              <w:t>，惟為達公司內部控制之目的及符合稽核原則，</w:t>
            </w:r>
            <w:r w:rsidR="00457863" w:rsidRPr="009248DC">
              <w:rPr>
                <w:rFonts w:ascii="標楷體" w:eastAsia="標楷體" w:hAnsi="標楷體" w:cs="新細明體" w:hint="eastAsia"/>
                <w:bCs/>
                <w:kern w:val="0"/>
              </w:rPr>
              <w:t>該</w:t>
            </w:r>
            <w:r w:rsidR="00A74377" w:rsidRPr="009248DC">
              <w:rPr>
                <w:rFonts w:ascii="標楷體" w:eastAsia="標楷體" w:hAnsi="標楷體" w:cs="新細明體" w:hint="eastAsia"/>
                <w:bCs/>
                <w:kern w:val="0"/>
              </w:rPr>
              <w:t>稽核人員仍</w:t>
            </w:r>
            <w:r w:rsidR="00A74377" w:rsidRPr="009248DC">
              <w:rPr>
                <w:rFonts w:ascii="標楷體" w:eastAsia="標楷體" w:hAnsi="標楷體" w:cs="新細明體" w:hint="eastAsia"/>
                <w:bCs/>
                <w:kern w:val="0"/>
              </w:rPr>
              <w:lastRenderedPageBreak/>
              <w:t>不得辦理稽核與自身有利害關係或利益衝突之案件</w:t>
            </w:r>
            <w:r w:rsidRPr="009248DC">
              <w:rPr>
                <w:rFonts w:ascii="標楷體" w:eastAsia="標楷體" w:hAnsi="標楷體" w:cs="新細明體" w:hint="eastAsia"/>
                <w:bCs/>
                <w:kern w:val="0"/>
              </w:rPr>
              <w:t>。</w:t>
            </w:r>
          </w:p>
          <w:p w:rsidR="00A74377" w:rsidRPr="009248DC" w:rsidRDefault="00A74377" w:rsidP="00A74377">
            <w:pPr>
              <w:jc w:val="both"/>
              <w:rPr>
                <w:rFonts w:ascii="標楷體" w:eastAsia="標楷體" w:hAnsi="標楷體" w:cs="新細明體"/>
                <w:bCs/>
                <w:kern w:val="0"/>
              </w:rPr>
            </w:pPr>
          </w:p>
        </w:tc>
      </w:tr>
      <w:tr w:rsidR="009248DC" w:rsidRPr="009248DC" w:rsidTr="00EF1CA8">
        <w:tc>
          <w:tcPr>
            <w:tcW w:w="2965" w:type="dxa"/>
          </w:tcPr>
          <w:p w:rsidR="00C44045" w:rsidRPr="009248DC" w:rsidRDefault="00C44045" w:rsidP="00A74377">
            <w:pPr>
              <w:ind w:left="252" w:hangingChars="105" w:hanging="252"/>
              <w:jc w:val="both"/>
              <w:rPr>
                <w:rFonts w:ascii="標楷體" w:eastAsia="標楷體" w:hAnsi="標楷體"/>
              </w:rPr>
            </w:pPr>
            <w:r w:rsidRPr="009248DC">
              <w:rPr>
                <w:rFonts w:ascii="標楷體" w:eastAsia="標楷體" w:hAnsi="標楷體" w:hint="eastAsia"/>
              </w:rPr>
              <w:lastRenderedPageBreak/>
              <w:t>第二十四條</w:t>
            </w:r>
            <w:r w:rsidRPr="009248DC">
              <w:rPr>
                <w:rFonts w:ascii="標楷體" w:eastAsia="標楷體" w:hAnsi="標楷體"/>
              </w:rPr>
              <w:t xml:space="preserve">  </w:t>
            </w:r>
            <w:r w:rsidRPr="009248DC">
              <w:rPr>
                <w:rFonts w:ascii="標楷體" w:eastAsia="標楷體" w:hAnsi="標楷體" w:hint="eastAsia"/>
              </w:rPr>
              <w:t>保險代理人公司、保險經紀人公司年度財務報表依規定或已辦理委由會計師辦理查核簽證時，應委託該會計師辦理內部控制制度之查核，並對其申報主管機關報表資料正確性、內部控制制度及法令遵循制度執行情形表示意見。</w:t>
            </w:r>
            <w:r w:rsidRPr="009248DC">
              <w:rPr>
                <w:rFonts w:ascii="標楷體" w:eastAsia="標楷體" w:hAnsi="標楷體" w:hint="eastAsia"/>
                <w:u w:val="single"/>
              </w:rPr>
              <w:t>但符合第二條第一項第三款者，得免委託該會計師辦理內部控制制度之查核。</w:t>
            </w:r>
          </w:p>
          <w:p w:rsidR="00C44045" w:rsidRPr="009248DC" w:rsidRDefault="00C44045" w:rsidP="00A74377">
            <w:pPr>
              <w:ind w:leftChars="110" w:left="264" w:firstLineChars="215" w:firstLine="516"/>
              <w:jc w:val="both"/>
              <w:rPr>
                <w:rFonts w:ascii="標楷體" w:eastAsia="標楷體" w:hAnsi="標楷體"/>
              </w:rPr>
            </w:pPr>
            <w:r w:rsidRPr="009248DC">
              <w:rPr>
                <w:rFonts w:ascii="標楷體" w:eastAsia="標楷體" w:hAnsi="標楷體" w:hint="eastAsia"/>
              </w:rPr>
              <w:t>保險代理人公司、保險經紀人公司年度財務報表無須會計師辦理</w:t>
            </w:r>
            <w:r w:rsidRPr="009248DC">
              <w:rPr>
                <w:rFonts w:ascii="標楷體" w:eastAsia="標楷體" w:hAnsi="標楷體" w:hint="eastAsia"/>
              </w:rPr>
              <w:lastRenderedPageBreak/>
              <w:t>查核簽證者，主管機關於必要時得令公司委託會計師辦理其內部控制制度之專案查核。</w:t>
            </w:r>
          </w:p>
          <w:p w:rsidR="00C44045" w:rsidRPr="009248DC" w:rsidRDefault="00C44045" w:rsidP="00A74377">
            <w:pPr>
              <w:ind w:leftChars="110" w:left="264" w:firstLineChars="215" w:firstLine="516"/>
              <w:jc w:val="both"/>
              <w:rPr>
                <w:rFonts w:ascii="標楷體" w:eastAsia="標楷體" w:hAnsi="標楷體"/>
              </w:rPr>
            </w:pPr>
            <w:r w:rsidRPr="009248DC">
              <w:rPr>
                <w:rFonts w:ascii="標楷體" w:eastAsia="標楷體" w:hAnsi="標楷體" w:hint="eastAsia"/>
              </w:rPr>
              <w:t>前項會計師之查核費用由保險代理人公司、保險經紀人公司與會計師自行議定，並由公司負擔會計師之查核費用。</w:t>
            </w:r>
          </w:p>
        </w:tc>
        <w:tc>
          <w:tcPr>
            <w:tcW w:w="2966" w:type="dxa"/>
          </w:tcPr>
          <w:p w:rsidR="00C44045" w:rsidRPr="009248DC" w:rsidRDefault="00C44045" w:rsidP="00A74377">
            <w:pPr>
              <w:ind w:left="240" w:hangingChars="100" w:hanging="240"/>
              <w:jc w:val="both"/>
              <w:rPr>
                <w:rFonts w:ascii="標楷體" w:eastAsia="標楷體" w:hAnsi="標楷體"/>
              </w:rPr>
            </w:pPr>
            <w:r w:rsidRPr="009248DC">
              <w:rPr>
                <w:rFonts w:ascii="標楷體" w:eastAsia="標楷體" w:hAnsi="標楷體" w:hint="eastAsia"/>
              </w:rPr>
              <w:lastRenderedPageBreak/>
              <w:t>第二十四條</w:t>
            </w:r>
            <w:r w:rsidRPr="009248DC">
              <w:rPr>
                <w:rFonts w:ascii="標楷體" w:eastAsia="標楷體" w:hAnsi="標楷體"/>
              </w:rPr>
              <w:t xml:space="preserve">  </w:t>
            </w:r>
            <w:r w:rsidRPr="009248DC">
              <w:rPr>
                <w:rFonts w:ascii="標楷體" w:eastAsia="標楷體" w:hAnsi="標楷體" w:hint="eastAsia"/>
              </w:rPr>
              <w:t>保險代理人公司、保險經紀人公司年度財務報表依規定或已辦理委由會計師辦理查核簽證時，應委託該會計師辦理內部控制制度之查核，並對其申報主管機關報表資料正確性、內部控制制度及法令遵循制度執行情形表示意見。</w:t>
            </w:r>
          </w:p>
          <w:p w:rsidR="00C44045" w:rsidRPr="009248DC" w:rsidRDefault="00C44045" w:rsidP="00A74377">
            <w:pPr>
              <w:ind w:leftChars="103" w:left="247" w:firstLineChars="210" w:firstLine="504"/>
              <w:jc w:val="both"/>
              <w:rPr>
                <w:rFonts w:ascii="標楷體" w:eastAsia="標楷體" w:hAnsi="標楷體"/>
              </w:rPr>
            </w:pPr>
            <w:r w:rsidRPr="009248DC">
              <w:rPr>
                <w:rFonts w:ascii="標楷體" w:eastAsia="標楷體" w:hAnsi="標楷體" w:hint="eastAsia"/>
              </w:rPr>
              <w:t>保險代理人公司、保險經紀人公司年度財務報表無須會計師辦理查核簽證者，主管機關於必要時得令公司委託會計師辦理其內部控制</w:t>
            </w:r>
            <w:r w:rsidRPr="009248DC">
              <w:rPr>
                <w:rFonts w:ascii="標楷體" w:eastAsia="標楷體" w:hAnsi="標楷體" w:hint="eastAsia"/>
              </w:rPr>
              <w:lastRenderedPageBreak/>
              <w:t>制度之專案查核。</w:t>
            </w:r>
          </w:p>
          <w:p w:rsidR="00C44045" w:rsidRPr="009248DC" w:rsidRDefault="00C44045" w:rsidP="00A74377">
            <w:pPr>
              <w:ind w:leftChars="103" w:left="247" w:firstLineChars="210" w:firstLine="504"/>
              <w:jc w:val="both"/>
              <w:rPr>
                <w:rFonts w:ascii="標楷體" w:eastAsia="標楷體" w:hAnsi="標楷體"/>
              </w:rPr>
            </w:pPr>
            <w:r w:rsidRPr="009248DC">
              <w:rPr>
                <w:rFonts w:ascii="標楷體" w:eastAsia="標楷體" w:hAnsi="標楷體" w:hint="eastAsia"/>
              </w:rPr>
              <w:t>前項會計師之查核費用由保險代理人公司、保險經紀人公司與會計師自行議定，並由公司負擔會計師之查核費用。</w:t>
            </w:r>
          </w:p>
        </w:tc>
        <w:tc>
          <w:tcPr>
            <w:tcW w:w="2966" w:type="dxa"/>
          </w:tcPr>
          <w:p w:rsidR="00C44045" w:rsidRPr="009248DC" w:rsidRDefault="00C44045" w:rsidP="007B141E">
            <w:pPr>
              <w:ind w:left="5" w:hangingChars="2" w:hanging="5"/>
              <w:jc w:val="both"/>
              <w:rPr>
                <w:rFonts w:ascii="標楷體" w:eastAsia="標楷體" w:hAnsi="標楷體" w:cs="新細明體"/>
                <w:bCs/>
                <w:kern w:val="0"/>
              </w:rPr>
            </w:pPr>
            <w:r w:rsidRPr="009248DC">
              <w:rPr>
                <w:rFonts w:ascii="標楷體" w:eastAsia="標楷體" w:hAnsi="標楷體" w:cs="新細明體" w:hint="eastAsia"/>
                <w:bCs/>
                <w:kern w:val="0"/>
              </w:rPr>
              <w:lastRenderedPageBreak/>
              <w:t>為減輕年度營業收入達</w:t>
            </w:r>
            <w:r w:rsidR="00EF0534" w:rsidRPr="009248DC">
              <w:rPr>
                <w:rFonts w:ascii="標楷體" w:eastAsia="標楷體" w:hAnsi="標楷體" w:cs="新細明體" w:hint="eastAsia"/>
                <w:bCs/>
                <w:kern w:val="0"/>
              </w:rPr>
              <w:t>新臺幣五千萬元以上未達新臺幣一億元之中型</w:t>
            </w:r>
            <w:r w:rsidRPr="009248DC">
              <w:rPr>
                <w:rFonts w:ascii="標楷體" w:eastAsia="標楷體" w:hAnsi="標楷體" w:cs="新細明體" w:hint="eastAsia"/>
                <w:bCs/>
                <w:kern w:val="0"/>
              </w:rPr>
              <w:t>保險代理人公司、保險經紀人公司實施內部控制之成本，爰增訂符合第二條第一項第三款者，對於</w:t>
            </w:r>
            <w:r w:rsidRPr="009248DC">
              <w:rPr>
                <w:rFonts w:ascii="標楷體" w:eastAsia="標楷體" w:hAnsi="標楷體" w:cs="新細明體" w:hint="eastAsia"/>
                <w:bCs/>
              </w:rPr>
              <w:t>已委由會計師辦理公司年度財務報表之查核簽證者，</w:t>
            </w:r>
            <w:r w:rsidRPr="009248DC">
              <w:rPr>
                <w:rFonts w:ascii="標楷體" w:eastAsia="標楷體" w:hAnsi="標楷體" w:cs="新細明體" w:hint="eastAsia"/>
                <w:bCs/>
                <w:kern w:val="0"/>
              </w:rPr>
              <w:t>得免委託該會計師辦理內部控制制度之查核。</w:t>
            </w:r>
          </w:p>
        </w:tc>
      </w:tr>
      <w:tr w:rsidR="009248DC" w:rsidRPr="009248DC" w:rsidTr="00EF1CA8">
        <w:tc>
          <w:tcPr>
            <w:tcW w:w="2965" w:type="dxa"/>
          </w:tcPr>
          <w:p w:rsidR="00C44045" w:rsidRPr="009248DC" w:rsidRDefault="00C44045" w:rsidP="007559A0">
            <w:pPr>
              <w:ind w:left="240" w:hangingChars="100" w:hanging="240"/>
              <w:jc w:val="both"/>
              <w:rPr>
                <w:rFonts w:ascii="標楷體" w:eastAsia="標楷體" w:hAnsi="標楷體" w:cs="新細明體"/>
                <w:bCs/>
                <w:kern w:val="0"/>
              </w:rPr>
            </w:pPr>
            <w:r w:rsidRPr="009248DC">
              <w:rPr>
                <w:rFonts w:ascii="標楷體" w:eastAsia="標楷體" w:hAnsi="標楷體" w:cs="新細明體" w:hint="eastAsia"/>
                <w:bCs/>
                <w:kern w:val="0"/>
              </w:rPr>
              <w:lastRenderedPageBreak/>
              <w:t>第三十一條</w:t>
            </w:r>
            <w:r w:rsidRPr="009248DC">
              <w:rPr>
                <w:rFonts w:ascii="標楷體" w:eastAsia="標楷體" w:hAnsi="標楷體" w:cs="新細明體"/>
                <w:bCs/>
                <w:kern w:val="0"/>
              </w:rPr>
              <w:t xml:space="preserve">  </w:t>
            </w:r>
            <w:r w:rsidRPr="009248DC">
              <w:rPr>
                <w:rFonts w:ascii="標楷體" w:eastAsia="標楷體" w:hAnsi="標楷體" w:cs="新細明體" w:hint="eastAsia"/>
                <w:bCs/>
                <w:kern w:val="0"/>
              </w:rPr>
              <w:t>保險代理人公司、保險經紀人公司已建立內部控制、稽核制度與招攬處理制度及程序者，如連續三年度營業收入未達第二條第一項第</w:t>
            </w:r>
            <w:r w:rsidRPr="009248DC">
              <w:rPr>
                <w:rFonts w:ascii="標楷體" w:eastAsia="標楷體" w:hAnsi="標楷體" w:cs="新細明體" w:hint="eastAsia"/>
                <w:bCs/>
                <w:kern w:val="0"/>
                <w:u w:val="single"/>
              </w:rPr>
              <w:t>三</w:t>
            </w:r>
            <w:r w:rsidRPr="009248DC">
              <w:rPr>
                <w:rFonts w:ascii="標楷體" w:eastAsia="標楷體" w:hAnsi="標楷體" w:cs="新細明體" w:hint="eastAsia"/>
                <w:bCs/>
                <w:kern w:val="0"/>
              </w:rPr>
              <w:t>款所定金額且最近一年度營業收入未達新臺幣</w:t>
            </w:r>
            <w:r w:rsidRPr="009248DC">
              <w:rPr>
                <w:rFonts w:ascii="標楷體" w:eastAsia="標楷體" w:hAnsi="標楷體" w:cs="新細明體" w:hint="eastAsia"/>
                <w:bCs/>
                <w:kern w:val="0"/>
                <w:u w:val="single"/>
              </w:rPr>
              <w:t>三</w:t>
            </w:r>
            <w:r w:rsidRPr="009248DC">
              <w:rPr>
                <w:rFonts w:ascii="標楷體" w:eastAsia="標楷體" w:hAnsi="標楷體" w:cs="新細明體" w:hint="eastAsia"/>
                <w:bCs/>
                <w:kern w:val="0"/>
              </w:rPr>
              <w:t>千萬元者，得經主管機關核准後免依本辦法辦理。</w:t>
            </w:r>
          </w:p>
        </w:tc>
        <w:tc>
          <w:tcPr>
            <w:tcW w:w="2966" w:type="dxa"/>
          </w:tcPr>
          <w:p w:rsidR="00C44045" w:rsidRPr="009248DC" w:rsidRDefault="00C44045" w:rsidP="00A74377">
            <w:pPr>
              <w:ind w:left="276" w:hangingChars="115" w:hanging="276"/>
              <w:jc w:val="both"/>
              <w:rPr>
                <w:rFonts w:ascii="標楷體" w:eastAsia="標楷體" w:hAnsi="標楷體"/>
              </w:rPr>
            </w:pPr>
            <w:r w:rsidRPr="009248DC">
              <w:rPr>
                <w:rFonts w:ascii="標楷體" w:eastAsia="標楷體" w:hAnsi="標楷體" w:hint="eastAsia"/>
              </w:rPr>
              <w:t>第三十一條</w:t>
            </w:r>
            <w:r w:rsidRPr="009248DC">
              <w:rPr>
                <w:rFonts w:ascii="標楷體" w:eastAsia="標楷體" w:hAnsi="標楷體"/>
              </w:rPr>
              <w:t xml:space="preserve">  </w:t>
            </w:r>
            <w:r w:rsidRPr="009248DC">
              <w:rPr>
                <w:rFonts w:ascii="標楷體" w:eastAsia="標楷體" w:hAnsi="標楷體" w:hint="eastAsia"/>
              </w:rPr>
              <w:t>保險代理人公司、保險經紀人公司已建立內部控制、稽核制度與招攬處理制度及程序者，如連續三年度營業收入未達第二條第一項第二款所定金額且最近一年度營業收入未達新臺幣五千萬元者，得經主管機關核准後免依本辦法辦理。</w:t>
            </w:r>
          </w:p>
        </w:tc>
        <w:tc>
          <w:tcPr>
            <w:tcW w:w="2966" w:type="dxa"/>
          </w:tcPr>
          <w:p w:rsidR="00C44045" w:rsidRPr="009248DC" w:rsidRDefault="00C44045" w:rsidP="007B141E">
            <w:pPr>
              <w:ind w:left="5" w:hangingChars="2" w:hanging="5"/>
              <w:jc w:val="both"/>
              <w:rPr>
                <w:rFonts w:ascii="標楷體" w:eastAsia="標楷體" w:hAnsi="標楷體" w:cs="新細明體"/>
                <w:bCs/>
                <w:kern w:val="0"/>
              </w:rPr>
            </w:pPr>
            <w:r w:rsidRPr="009248DC">
              <w:rPr>
                <w:rFonts w:ascii="標楷體" w:eastAsia="標楷體" w:hAnsi="標楷體" w:cs="新細明體" w:hint="eastAsia"/>
                <w:bCs/>
                <w:kern w:val="0"/>
              </w:rPr>
              <w:t>配合第二條擴大實施範圍，故調整得免</w:t>
            </w:r>
            <w:r w:rsidR="007B141E" w:rsidRPr="009248DC">
              <w:rPr>
                <w:rFonts w:ascii="標楷體" w:eastAsia="標楷體" w:hAnsi="標楷體" w:cs="新細明體" w:hint="eastAsia"/>
                <w:bCs/>
                <w:kern w:val="0"/>
              </w:rPr>
              <w:t>依本辦法辦理之</w:t>
            </w:r>
            <w:r w:rsidRPr="009248DC">
              <w:rPr>
                <w:rFonts w:ascii="標楷體" w:eastAsia="標楷體" w:hAnsi="標楷體" w:cs="新細明體" w:hint="eastAsia"/>
                <w:bCs/>
                <w:kern w:val="0"/>
              </w:rPr>
              <w:t>規定。</w:t>
            </w:r>
          </w:p>
        </w:tc>
      </w:tr>
      <w:tr w:rsidR="00C44045" w:rsidRPr="009248DC" w:rsidTr="00EF1CA8">
        <w:tc>
          <w:tcPr>
            <w:tcW w:w="2965" w:type="dxa"/>
          </w:tcPr>
          <w:p w:rsidR="00C44045" w:rsidRPr="009248DC" w:rsidRDefault="00EF0534" w:rsidP="000944EE">
            <w:pPr>
              <w:jc w:val="both"/>
              <w:rPr>
                <w:rFonts w:ascii="標楷體" w:eastAsia="標楷體" w:hAnsi="標楷體" w:cs="新細明體"/>
                <w:bCs/>
                <w:kern w:val="0"/>
              </w:rPr>
            </w:pPr>
            <w:r w:rsidRPr="009248DC">
              <w:rPr>
                <w:rFonts w:ascii="標楷體" w:eastAsia="標楷體" w:hAnsi="標楷體" w:cs="新細明體" w:hint="eastAsia"/>
                <w:bCs/>
                <w:kern w:val="0"/>
              </w:rPr>
              <w:t>第三十二條</w:t>
            </w:r>
            <w:r w:rsidR="00EC3118" w:rsidRPr="009248DC">
              <w:rPr>
                <w:rFonts w:ascii="標楷體" w:eastAsia="標楷體" w:hAnsi="標楷體" w:cs="新細明體" w:hint="eastAsia"/>
                <w:bCs/>
                <w:kern w:val="0"/>
              </w:rPr>
              <w:t xml:space="preserve"> </w:t>
            </w:r>
            <w:r w:rsidRPr="009248DC">
              <w:rPr>
                <w:rFonts w:ascii="標楷體" w:eastAsia="標楷體" w:hAnsi="標楷體" w:cs="新細明體" w:hint="eastAsia"/>
                <w:bCs/>
                <w:kern w:val="0"/>
              </w:rPr>
              <w:t xml:space="preserve"> (刪除)</w:t>
            </w:r>
          </w:p>
        </w:tc>
        <w:tc>
          <w:tcPr>
            <w:tcW w:w="2966" w:type="dxa"/>
          </w:tcPr>
          <w:p w:rsidR="00C44045" w:rsidRPr="009248DC" w:rsidRDefault="00C44045" w:rsidP="00A74377">
            <w:pPr>
              <w:ind w:left="247" w:hangingChars="103" w:hanging="247"/>
              <w:jc w:val="both"/>
              <w:rPr>
                <w:rFonts w:ascii="標楷體" w:eastAsia="標楷體" w:hAnsi="標楷體"/>
              </w:rPr>
            </w:pPr>
            <w:r w:rsidRPr="009248DC">
              <w:rPr>
                <w:rFonts w:ascii="標楷體" w:eastAsia="標楷體" w:hAnsi="標楷體" w:hint="eastAsia"/>
              </w:rPr>
              <w:t>第三十二條</w:t>
            </w:r>
            <w:r w:rsidRPr="009248DC">
              <w:rPr>
                <w:rFonts w:ascii="標楷體" w:eastAsia="標楷體" w:hAnsi="標楷體"/>
              </w:rPr>
              <w:t xml:space="preserve"> </w:t>
            </w:r>
            <w:r w:rsidRPr="009248DC">
              <w:rPr>
                <w:rFonts w:ascii="標楷體" w:eastAsia="標楷體" w:hAnsi="標楷體" w:hint="eastAsia"/>
              </w:rPr>
              <w:t>保險代理人公司、保險經紀人公司九十九年度營業收入達下列各款金額者，應依各該款規定時程建立內部控制、稽核制度與招攬處理制度及程序，不適用第二條第一項規定：</w:t>
            </w:r>
          </w:p>
          <w:p w:rsidR="00C44045" w:rsidRPr="009248DC" w:rsidRDefault="00C44045" w:rsidP="00A74377">
            <w:pPr>
              <w:ind w:leftChars="115" w:left="643" w:hangingChars="153" w:hanging="367"/>
              <w:jc w:val="both"/>
              <w:rPr>
                <w:rFonts w:ascii="標楷體" w:eastAsia="標楷體" w:hAnsi="標楷體"/>
              </w:rPr>
            </w:pPr>
            <w:r w:rsidRPr="009248DC">
              <w:rPr>
                <w:rFonts w:ascii="標楷體" w:eastAsia="標楷體" w:hAnsi="標楷體" w:hint="eastAsia"/>
              </w:rPr>
              <w:t>一、年度營業收入達新臺幣三億元者，應於一百零一年底前辦理。</w:t>
            </w:r>
          </w:p>
          <w:p w:rsidR="00C44045" w:rsidRPr="009248DC" w:rsidRDefault="00C44045" w:rsidP="00A74377">
            <w:pPr>
              <w:ind w:leftChars="115" w:left="643" w:hangingChars="153" w:hanging="367"/>
              <w:jc w:val="both"/>
              <w:rPr>
                <w:rFonts w:ascii="標楷體" w:eastAsia="標楷體" w:hAnsi="標楷體"/>
              </w:rPr>
            </w:pPr>
            <w:r w:rsidRPr="009248DC">
              <w:rPr>
                <w:rFonts w:ascii="標楷體" w:eastAsia="標楷體" w:hAnsi="標楷體" w:hint="eastAsia"/>
              </w:rPr>
              <w:t>二、年度營業收入達新臺幣一億元者，應於一百零二年底前辦理。</w:t>
            </w:r>
          </w:p>
        </w:tc>
        <w:tc>
          <w:tcPr>
            <w:tcW w:w="2966" w:type="dxa"/>
          </w:tcPr>
          <w:p w:rsidR="00C44045" w:rsidRPr="009248DC" w:rsidRDefault="00C44045" w:rsidP="00332D7D">
            <w:pPr>
              <w:ind w:left="5" w:hangingChars="2" w:hanging="5"/>
              <w:jc w:val="both"/>
              <w:rPr>
                <w:rFonts w:ascii="標楷體" w:eastAsia="標楷體" w:hAnsi="標楷體" w:cs="新細明體"/>
                <w:bCs/>
                <w:kern w:val="0"/>
                <w:u w:val="single"/>
              </w:rPr>
            </w:pPr>
            <w:r w:rsidRPr="009248DC">
              <w:rPr>
                <w:rFonts w:ascii="標楷體" w:eastAsia="標楷體" w:hAnsi="標楷體" w:cs="新細明體" w:hint="eastAsia"/>
                <w:bCs/>
                <w:kern w:val="0"/>
              </w:rPr>
              <w:t>一、</w:t>
            </w:r>
            <w:r w:rsidRPr="009248DC">
              <w:rPr>
                <w:rFonts w:ascii="標楷體" w:eastAsia="標楷體" w:hAnsi="標楷體" w:cs="新細明體" w:hint="eastAsia"/>
                <w:bCs/>
                <w:kern w:val="0"/>
                <w:u w:val="single"/>
              </w:rPr>
              <w:t>本條刪除</w:t>
            </w:r>
            <w:r w:rsidRPr="009248DC">
              <w:rPr>
                <w:rFonts w:ascii="標楷體" w:eastAsia="標楷體" w:hAnsi="標楷體" w:cs="新細明體" w:hint="eastAsia"/>
                <w:bCs/>
                <w:kern w:val="0"/>
              </w:rPr>
              <w:t>。</w:t>
            </w:r>
          </w:p>
          <w:p w:rsidR="00C44045" w:rsidRPr="009248DC" w:rsidRDefault="00C44045" w:rsidP="004161EF">
            <w:pPr>
              <w:ind w:left="437" w:hangingChars="182" w:hanging="437"/>
              <w:jc w:val="both"/>
              <w:rPr>
                <w:rFonts w:ascii="標楷體" w:eastAsia="標楷體" w:hAnsi="標楷體" w:cs="新細明體"/>
                <w:bCs/>
                <w:kern w:val="0"/>
              </w:rPr>
            </w:pPr>
            <w:r w:rsidRPr="009248DC">
              <w:rPr>
                <w:rFonts w:ascii="標楷體" w:eastAsia="標楷體" w:hAnsi="標楷體" w:cs="新細明體" w:hint="eastAsia"/>
                <w:bCs/>
                <w:kern w:val="0"/>
              </w:rPr>
              <w:t>二、鑒於本辦法實施已滿二年，原</w:t>
            </w:r>
            <w:r w:rsidRPr="009248DC">
              <w:rPr>
                <w:rFonts w:eastAsia="標楷體" w:hAnsi="標楷體" w:hint="eastAsia"/>
                <w:kern w:val="0"/>
              </w:rPr>
              <w:t>賦予保險代理人</w:t>
            </w:r>
            <w:r w:rsidR="00EF0534" w:rsidRPr="009248DC">
              <w:rPr>
                <w:rFonts w:eastAsia="標楷體" w:hAnsi="標楷體" w:hint="eastAsia"/>
                <w:kern w:val="0"/>
              </w:rPr>
              <w:t>公司</w:t>
            </w:r>
            <w:r w:rsidRPr="009248DC">
              <w:rPr>
                <w:rFonts w:eastAsia="標楷體" w:hAnsi="標楷體" w:hint="eastAsia"/>
                <w:kern w:val="0"/>
              </w:rPr>
              <w:t>、</w:t>
            </w:r>
            <w:r w:rsidR="00EF0534" w:rsidRPr="009248DC">
              <w:rPr>
                <w:rFonts w:eastAsia="標楷體" w:hAnsi="標楷體" w:hint="eastAsia"/>
                <w:kern w:val="0"/>
              </w:rPr>
              <w:t>保險</w:t>
            </w:r>
            <w:r w:rsidRPr="009248DC">
              <w:rPr>
                <w:rFonts w:eastAsia="標楷體" w:hAnsi="標楷體" w:hint="eastAsia"/>
                <w:kern w:val="0"/>
              </w:rPr>
              <w:t>經紀人公司實施內部控制制度緩衝時間之</w:t>
            </w:r>
            <w:r w:rsidRPr="009248DC">
              <w:rPr>
                <w:rFonts w:ascii="標楷體" w:eastAsia="標楷體" w:hAnsi="標楷體" w:cs="新細明體" w:hint="eastAsia"/>
                <w:bCs/>
                <w:kern w:val="0"/>
              </w:rPr>
              <w:t>規定已屆期，爰予刪除。</w:t>
            </w:r>
          </w:p>
        </w:tc>
      </w:tr>
    </w:tbl>
    <w:p w:rsidR="00C44045" w:rsidRPr="009248DC" w:rsidRDefault="00C44045"/>
    <w:sectPr w:rsidR="00C44045" w:rsidRPr="009248DC" w:rsidSect="000733A0">
      <w:footerReference w:type="even" r:id="rId11"/>
      <w:footerReference w:type="default" r:id="rId12"/>
      <w:pgSz w:w="11906" w:h="16838" w:code="9"/>
      <w:pgMar w:top="1418" w:right="1418" w:bottom="1418" w:left="170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E3F" w:rsidRDefault="00B33E3F" w:rsidP="00A266FC">
      <w:r>
        <w:separator/>
      </w:r>
    </w:p>
  </w:endnote>
  <w:endnote w:type="continuationSeparator" w:id="0">
    <w:p w:rsidR="00B33E3F" w:rsidRDefault="00B33E3F" w:rsidP="00A2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45" w:rsidRDefault="00C44045" w:rsidP="005009D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44045" w:rsidRDefault="00C440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45" w:rsidRDefault="00C44045" w:rsidP="005009D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E741D">
      <w:rPr>
        <w:rStyle w:val="a7"/>
        <w:noProof/>
      </w:rPr>
      <w:t>1</w:t>
    </w:r>
    <w:r>
      <w:rPr>
        <w:rStyle w:val="a7"/>
      </w:rPr>
      <w:fldChar w:fldCharType="end"/>
    </w:r>
  </w:p>
  <w:p w:rsidR="00C44045" w:rsidRDefault="00C440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E3F" w:rsidRDefault="00B33E3F" w:rsidP="00A266FC">
      <w:r>
        <w:separator/>
      </w:r>
    </w:p>
  </w:footnote>
  <w:footnote w:type="continuationSeparator" w:id="0">
    <w:p w:rsidR="00B33E3F" w:rsidRDefault="00B33E3F" w:rsidP="00A26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84DB8C"/>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62F6EA0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3FD89B96"/>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C3F66F82"/>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A61C1270"/>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B20AB134"/>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1B2A686E"/>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4F5864CA"/>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3F680262"/>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4280ABB8"/>
    <w:lvl w:ilvl="0">
      <w:start w:val="1"/>
      <w:numFmt w:val="bullet"/>
      <w:lvlText w:val=""/>
      <w:lvlJc w:val="left"/>
      <w:pPr>
        <w:tabs>
          <w:tab w:val="num" w:pos="361"/>
        </w:tabs>
        <w:ind w:left="361" w:hanging="360"/>
      </w:pPr>
      <w:rPr>
        <w:rFonts w:ascii="Wingdings" w:hAnsi="Wingdings" w:hint="default"/>
      </w:rPr>
    </w:lvl>
  </w:abstractNum>
  <w:abstractNum w:abstractNumId="10">
    <w:nsid w:val="02D26CC1"/>
    <w:multiLevelType w:val="hybridMultilevel"/>
    <w:tmpl w:val="B2D04564"/>
    <w:lvl w:ilvl="0" w:tplc="0F76618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0680B3C"/>
    <w:multiLevelType w:val="hybridMultilevel"/>
    <w:tmpl w:val="311C8466"/>
    <w:lvl w:ilvl="0" w:tplc="E64E01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13A7E0B"/>
    <w:multiLevelType w:val="hybridMultilevel"/>
    <w:tmpl w:val="71D6B130"/>
    <w:lvl w:ilvl="0" w:tplc="A7FCE4AE">
      <w:start w:val="1"/>
      <w:numFmt w:val="ideographLegalTraditional"/>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EE"/>
    <w:rsid w:val="00036CA4"/>
    <w:rsid w:val="0004468C"/>
    <w:rsid w:val="00046E48"/>
    <w:rsid w:val="00051FDD"/>
    <w:rsid w:val="000733A0"/>
    <w:rsid w:val="000944EE"/>
    <w:rsid w:val="000C00AA"/>
    <w:rsid w:val="000D1E83"/>
    <w:rsid w:val="000D2116"/>
    <w:rsid w:val="000E78CA"/>
    <w:rsid w:val="000F3B44"/>
    <w:rsid w:val="0011729B"/>
    <w:rsid w:val="001368C0"/>
    <w:rsid w:val="00137A33"/>
    <w:rsid w:val="0014138D"/>
    <w:rsid w:val="00150E16"/>
    <w:rsid w:val="00157770"/>
    <w:rsid w:val="00157C9E"/>
    <w:rsid w:val="001602B5"/>
    <w:rsid w:val="00174CD7"/>
    <w:rsid w:val="00176862"/>
    <w:rsid w:val="00192E9E"/>
    <w:rsid w:val="001D185D"/>
    <w:rsid w:val="001D72B8"/>
    <w:rsid w:val="001E42DF"/>
    <w:rsid w:val="00216812"/>
    <w:rsid w:val="0022666B"/>
    <w:rsid w:val="00231842"/>
    <w:rsid w:val="00234CF5"/>
    <w:rsid w:val="00276E83"/>
    <w:rsid w:val="00283C06"/>
    <w:rsid w:val="00297D0E"/>
    <w:rsid w:val="002D0E7A"/>
    <w:rsid w:val="002E1594"/>
    <w:rsid w:val="002E3D45"/>
    <w:rsid w:val="002E707C"/>
    <w:rsid w:val="002F2335"/>
    <w:rsid w:val="003032A0"/>
    <w:rsid w:val="00322EBE"/>
    <w:rsid w:val="00332D7D"/>
    <w:rsid w:val="00336196"/>
    <w:rsid w:val="003624F3"/>
    <w:rsid w:val="00392986"/>
    <w:rsid w:val="003B3508"/>
    <w:rsid w:val="003C1E96"/>
    <w:rsid w:val="003D7BAE"/>
    <w:rsid w:val="00406C83"/>
    <w:rsid w:val="004161EF"/>
    <w:rsid w:val="00421A36"/>
    <w:rsid w:val="00425889"/>
    <w:rsid w:val="004265C1"/>
    <w:rsid w:val="00427D9C"/>
    <w:rsid w:val="00437BCC"/>
    <w:rsid w:val="004549A7"/>
    <w:rsid w:val="00457863"/>
    <w:rsid w:val="004762D0"/>
    <w:rsid w:val="004A42E3"/>
    <w:rsid w:val="004C11B9"/>
    <w:rsid w:val="004D39D1"/>
    <w:rsid w:val="004E1390"/>
    <w:rsid w:val="004E5355"/>
    <w:rsid w:val="004E741D"/>
    <w:rsid w:val="005009D6"/>
    <w:rsid w:val="00523A2A"/>
    <w:rsid w:val="005513D7"/>
    <w:rsid w:val="00562F60"/>
    <w:rsid w:val="00563DA5"/>
    <w:rsid w:val="00594CED"/>
    <w:rsid w:val="005B5058"/>
    <w:rsid w:val="005B6D52"/>
    <w:rsid w:val="005C5023"/>
    <w:rsid w:val="005D5855"/>
    <w:rsid w:val="005E7358"/>
    <w:rsid w:val="005F4827"/>
    <w:rsid w:val="006510E2"/>
    <w:rsid w:val="0066678F"/>
    <w:rsid w:val="00693EBF"/>
    <w:rsid w:val="006B4827"/>
    <w:rsid w:val="006C7705"/>
    <w:rsid w:val="006F3B5C"/>
    <w:rsid w:val="007067F9"/>
    <w:rsid w:val="00714B8E"/>
    <w:rsid w:val="00727543"/>
    <w:rsid w:val="00727586"/>
    <w:rsid w:val="0074462C"/>
    <w:rsid w:val="007559A0"/>
    <w:rsid w:val="0077340E"/>
    <w:rsid w:val="0078174B"/>
    <w:rsid w:val="00787C68"/>
    <w:rsid w:val="00792714"/>
    <w:rsid w:val="007B141E"/>
    <w:rsid w:val="007B187A"/>
    <w:rsid w:val="007B373A"/>
    <w:rsid w:val="007B442E"/>
    <w:rsid w:val="007D2FA9"/>
    <w:rsid w:val="0084570A"/>
    <w:rsid w:val="00856AF5"/>
    <w:rsid w:val="00864C53"/>
    <w:rsid w:val="008B14DF"/>
    <w:rsid w:val="008D173F"/>
    <w:rsid w:val="008F171E"/>
    <w:rsid w:val="008F4339"/>
    <w:rsid w:val="0090060D"/>
    <w:rsid w:val="00901D1F"/>
    <w:rsid w:val="00915524"/>
    <w:rsid w:val="009248DC"/>
    <w:rsid w:val="00927A19"/>
    <w:rsid w:val="00940E6C"/>
    <w:rsid w:val="0095289D"/>
    <w:rsid w:val="00974724"/>
    <w:rsid w:val="009828E8"/>
    <w:rsid w:val="009C2997"/>
    <w:rsid w:val="009E4163"/>
    <w:rsid w:val="009E5437"/>
    <w:rsid w:val="00A13120"/>
    <w:rsid w:val="00A24E9A"/>
    <w:rsid w:val="00A266FC"/>
    <w:rsid w:val="00A74377"/>
    <w:rsid w:val="00AB0EA7"/>
    <w:rsid w:val="00AE4C4F"/>
    <w:rsid w:val="00B035EF"/>
    <w:rsid w:val="00B0383C"/>
    <w:rsid w:val="00B11170"/>
    <w:rsid w:val="00B16F8F"/>
    <w:rsid w:val="00B33B2B"/>
    <w:rsid w:val="00B33E3F"/>
    <w:rsid w:val="00B54E1B"/>
    <w:rsid w:val="00B610DC"/>
    <w:rsid w:val="00B64CE9"/>
    <w:rsid w:val="00B75301"/>
    <w:rsid w:val="00BA715D"/>
    <w:rsid w:val="00BB461C"/>
    <w:rsid w:val="00BD5F23"/>
    <w:rsid w:val="00BF2C34"/>
    <w:rsid w:val="00C20ED1"/>
    <w:rsid w:val="00C44045"/>
    <w:rsid w:val="00C457A6"/>
    <w:rsid w:val="00C5162C"/>
    <w:rsid w:val="00CA3753"/>
    <w:rsid w:val="00CD115B"/>
    <w:rsid w:val="00CE3D46"/>
    <w:rsid w:val="00CF2FA7"/>
    <w:rsid w:val="00D43355"/>
    <w:rsid w:val="00D455ED"/>
    <w:rsid w:val="00D56E31"/>
    <w:rsid w:val="00DA06CB"/>
    <w:rsid w:val="00DD3026"/>
    <w:rsid w:val="00DD5D48"/>
    <w:rsid w:val="00DE45C1"/>
    <w:rsid w:val="00DF067A"/>
    <w:rsid w:val="00E744A6"/>
    <w:rsid w:val="00E771A9"/>
    <w:rsid w:val="00E807C8"/>
    <w:rsid w:val="00E808D8"/>
    <w:rsid w:val="00E8767F"/>
    <w:rsid w:val="00EA341A"/>
    <w:rsid w:val="00EA5343"/>
    <w:rsid w:val="00EC3118"/>
    <w:rsid w:val="00ED1384"/>
    <w:rsid w:val="00EF0534"/>
    <w:rsid w:val="00EF1CA8"/>
    <w:rsid w:val="00F01717"/>
    <w:rsid w:val="00F07146"/>
    <w:rsid w:val="00F0768B"/>
    <w:rsid w:val="00F31D46"/>
    <w:rsid w:val="00F37CB4"/>
    <w:rsid w:val="00F52F19"/>
    <w:rsid w:val="00F71562"/>
    <w:rsid w:val="00F918F2"/>
    <w:rsid w:val="00FD106B"/>
    <w:rsid w:val="00FE6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4EE"/>
    <w:pPr>
      <w:widowControl w:val="0"/>
    </w:pPr>
    <w:rPr>
      <w:rFonts w:ascii="Times New Roman" w:hAnsi="Times New Roman"/>
      <w:szCs w:val="24"/>
    </w:rPr>
  </w:style>
  <w:style w:type="paragraph" w:styleId="2">
    <w:name w:val="heading 2"/>
    <w:basedOn w:val="a"/>
    <w:next w:val="a"/>
    <w:link w:val="20"/>
    <w:uiPriority w:val="99"/>
    <w:qFormat/>
    <w:rsid w:val="000944EE"/>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0944EE"/>
    <w:rPr>
      <w:rFonts w:ascii="Cambria" w:eastAsia="新細明體" w:hAnsi="Cambria" w:cs="Times New Roman"/>
      <w:b/>
      <w:bCs/>
      <w:sz w:val="48"/>
      <w:szCs w:val="48"/>
    </w:rPr>
  </w:style>
  <w:style w:type="paragraph" w:styleId="a3">
    <w:name w:val="header"/>
    <w:basedOn w:val="a"/>
    <w:link w:val="a4"/>
    <w:uiPriority w:val="99"/>
    <w:semiHidden/>
    <w:rsid w:val="00A266FC"/>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A266FC"/>
    <w:rPr>
      <w:rFonts w:ascii="Times New Roman" w:eastAsia="新細明體" w:hAnsi="Times New Roman" w:cs="Times New Roman"/>
      <w:sz w:val="20"/>
      <w:szCs w:val="20"/>
    </w:rPr>
  </w:style>
  <w:style w:type="paragraph" w:styleId="a5">
    <w:name w:val="footer"/>
    <w:basedOn w:val="a"/>
    <w:link w:val="a6"/>
    <w:uiPriority w:val="99"/>
    <w:semiHidden/>
    <w:rsid w:val="00A266FC"/>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A266FC"/>
    <w:rPr>
      <w:rFonts w:ascii="Times New Roman" w:eastAsia="新細明體" w:hAnsi="Times New Roman" w:cs="Times New Roman"/>
      <w:sz w:val="20"/>
      <w:szCs w:val="20"/>
    </w:rPr>
  </w:style>
  <w:style w:type="paragraph" w:styleId="HTML">
    <w:name w:val="HTML Preformatted"/>
    <w:basedOn w:val="a"/>
    <w:link w:val="HTML0"/>
    <w:uiPriority w:val="99"/>
    <w:rsid w:val="00A266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A266FC"/>
    <w:rPr>
      <w:rFonts w:ascii="細明體" w:eastAsia="細明體" w:hAnsi="細明體" w:cs="細明體"/>
      <w:kern w:val="0"/>
      <w:sz w:val="24"/>
      <w:szCs w:val="24"/>
    </w:rPr>
  </w:style>
  <w:style w:type="character" w:styleId="a7">
    <w:name w:val="page number"/>
    <w:basedOn w:val="a0"/>
    <w:uiPriority w:val="99"/>
    <w:rsid w:val="005C5023"/>
    <w:rPr>
      <w:rFonts w:cs="Times New Roman"/>
    </w:rPr>
  </w:style>
  <w:style w:type="paragraph" w:styleId="a8">
    <w:name w:val="Balloon Text"/>
    <w:basedOn w:val="a"/>
    <w:link w:val="a9"/>
    <w:uiPriority w:val="99"/>
    <w:semiHidden/>
    <w:rsid w:val="004E1390"/>
    <w:rPr>
      <w:rFonts w:ascii="Arial" w:hAnsi="Arial"/>
      <w:sz w:val="18"/>
      <w:szCs w:val="18"/>
    </w:rPr>
  </w:style>
  <w:style w:type="character" w:customStyle="1" w:styleId="a9">
    <w:name w:val="註解方塊文字 字元"/>
    <w:basedOn w:val="a0"/>
    <w:link w:val="a8"/>
    <w:uiPriority w:val="99"/>
    <w:semiHidden/>
    <w:locked/>
    <w:rsid w:val="0066678F"/>
    <w:rPr>
      <w:rFonts w:ascii="Cambria" w:eastAsia="新細明體" w:hAnsi="Cambria"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4EE"/>
    <w:pPr>
      <w:widowControl w:val="0"/>
    </w:pPr>
    <w:rPr>
      <w:rFonts w:ascii="Times New Roman" w:hAnsi="Times New Roman"/>
      <w:szCs w:val="24"/>
    </w:rPr>
  </w:style>
  <w:style w:type="paragraph" w:styleId="2">
    <w:name w:val="heading 2"/>
    <w:basedOn w:val="a"/>
    <w:next w:val="a"/>
    <w:link w:val="20"/>
    <w:uiPriority w:val="99"/>
    <w:qFormat/>
    <w:rsid w:val="000944EE"/>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0944EE"/>
    <w:rPr>
      <w:rFonts w:ascii="Cambria" w:eastAsia="新細明體" w:hAnsi="Cambria" w:cs="Times New Roman"/>
      <w:b/>
      <w:bCs/>
      <w:sz w:val="48"/>
      <w:szCs w:val="48"/>
    </w:rPr>
  </w:style>
  <w:style w:type="paragraph" w:styleId="a3">
    <w:name w:val="header"/>
    <w:basedOn w:val="a"/>
    <w:link w:val="a4"/>
    <w:uiPriority w:val="99"/>
    <w:semiHidden/>
    <w:rsid w:val="00A266FC"/>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A266FC"/>
    <w:rPr>
      <w:rFonts w:ascii="Times New Roman" w:eastAsia="新細明體" w:hAnsi="Times New Roman" w:cs="Times New Roman"/>
      <w:sz w:val="20"/>
      <w:szCs w:val="20"/>
    </w:rPr>
  </w:style>
  <w:style w:type="paragraph" w:styleId="a5">
    <w:name w:val="footer"/>
    <w:basedOn w:val="a"/>
    <w:link w:val="a6"/>
    <w:uiPriority w:val="99"/>
    <w:semiHidden/>
    <w:rsid w:val="00A266FC"/>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A266FC"/>
    <w:rPr>
      <w:rFonts w:ascii="Times New Roman" w:eastAsia="新細明體" w:hAnsi="Times New Roman" w:cs="Times New Roman"/>
      <w:sz w:val="20"/>
      <w:szCs w:val="20"/>
    </w:rPr>
  </w:style>
  <w:style w:type="paragraph" w:styleId="HTML">
    <w:name w:val="HTML Preformatted"/>
    <w:basedOn w:val="a"/>
    <w:link w:val="HTML0"/>
    <w:uiPriority w:val="99"/>
    <w:rsid w:val="00A266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A266FC"/>
    <w:rPr>
      <w:rFonts w:ascii="細明體" w:eastAsia="細明體" w:hAnsi="細明體" w:cs="細明體"/>
      <w:kern w:val="0"/>
      <w:sz w:val="24"/>
      <w:szCs w:val="24"/>
    </w:rPr>
  </w:style>
  <w:style w:type="character" w:styleId="a7">
    <w:name w:val="page number"/>
    <w:basedOn w:val="a0"/>
    <w:uiPriority w:val="99"/>
    <w:rsid w:val="005C5023"/>
    <w:rPr>
      <w:rFonts w:cs="Times New Roman"/>
    </w:rPr>
  </w:style>
  <w:style w:type="paragraph" w:styleId="a8">
    <w:name w:val="Balloon Text"/>
    <w:basedOn w:val="a"/>
    <w:link w:val="a9"/>
    <w:uiPriority w:val="99"/>
    <w:semiHidden/>
    <w:rsid w:val="004E1390"/>
    <w:rPr>
      <w:rFonts w:ascii="Arial" w:hAnsi="Arial"/>
      <w:sz w:val="18"/>
      <w:szCs w:val="18"/>
    </w:rPr>
  </w:style>
  <w:style w:type="character" w:customStyle="1" w:styleId="a9">
    <w:name w:val="註解方塊文字 字元"/>
    <w:basedOn w:val="a0"/>
    <w:link w:val="a8"/>
    <w:uiPriority w:val="99"/>
    <w:semiHidden/>
    <w:locked/>
    <w:rsid w:val="0066678F"/>
    <w:rPr>
      <w:rFonts w:ascii="Cambria" w:eastAsia="新細明體" w:hAnsi="Cambria"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331440">
      <w:marLeft w:val="0"/>
      <w:marRight w:val="0"/>
      <w:marTop w:val="0"/>
      <w:marBottom w:val="0"/>
      <w:divBdr>
        <w:top w:val="none" w:sz="0" w:space="0" w:color="auto"/>
        <w:left w:val="none" w:sz="0" w:space="0" w:color="auto"/>
        <w:bottom w:val="none" w:sz="0" w:space="0" w:color="auto"/>
        <w:right w:val="none" w:sz="0" w:space="0" w:color="auto"/>
      </w:divBdr>
    </w:div>
    <w:div w:id="1674331441">
      <w:marLeft w:val="0"/>
      <w:marRight w:val="0"/>
      <w:marTop w:val="0"/>
      <w:marBottom w:val="0"/>
      <w:divBdr>
        <w:top w:val="none" w:sz="0" w:space="0" w:color="auto"/>
        <w:left w:val="none" w:sz="0" w:space="0" w:color="auto"/>
        <w:bottom w:val="none" w:sz="0" w:space="0" w:color="auto"/>
        <w:right w:val="none" w:sz="0" w:space="0" w:color="auto"/>
      </w:divBdr>
    </w:div>
    <w:div w:id="1674331442">
      <w:marLeft w:val="0"/>
      <w:marRight w:val="0"/>
      <w:marTop w:val="0"/>
      <w:marBottom w:val="0"/>
      <w:divBdr>
        <w:top w:val="none" w:sz="0" w:space="0" w:color="auto"/>
        <w:left w:val="none" w:sz="0" w:space="0" w:color="auto"/>
        <w:bottom w:val="none" w:sz="0" w:space="0" w:color="auto"/>
        <w:right w:val="none" w:sz="0" w:space="0" w:color="auto"/>
      </w:divBdr>
    </w:div>
    <w:div w:id="1674331443">
      <w:marLeft w:val="0"/>
      <w:marRight w:val="0"/>
      <w:marTop w:val="0"/>
      <w:marBottom w:val="0"/>
      <w:divBdr>
        <w:top w:val="none" w:sz="0" w:space="0" w:color="auto"/>
        <w:left w:val="none" w:sz="0" w:space="0" w:color="auto"/>
        <w:bottom w:val="none" w:sz="0" w:space="0" w:color="auto"/>
        <w:right w:val="none" w:sz="0" w:space="0" w:color="auto"/>
      </w:divBdr>
    </w:div>
    <w:div w:id="1674331444">
      <w:marLeft w:val="0"/>
      <w:marRight w:val="0"/>
      <w:marTop w:val="0"/>
      <w:marBottom w:val="0"/>
      <w:divBdr>
        <w:top w:val="none" w:sz="0" w:space="0" w:color="auto"/>
        <w:left w:val="none" w:sz="0" w:space="0" w:color="auto"/>
        <w:bottom w:val="none" w:sz="0" w:space="0" w:color="auto"/>
        <w:right w:val="none" w:sz="0" w:space="0" w:color="auto"/>
      </w:divBdr>
    </w:div>
    <w:div w:id="1674331445">
      <w:marLeft w:val="0"/>
      <w:marRight w:val="0"/>
      <w:marTop w:val="0"/>
      <w:marBottom w:val="0"/>
      <w:divBdr>
        <w:top w:val="none" w:sz="0" w:space="0" w:color="auto"/>
        <w:left w:val="none" w:sz="0" w:space="0" w:color="auto"/>
        <w:bottom w:val="none" w:sz="0" w:space="0" w:color="auto"/>
        <w:right w:val="none" w:sz="0" w:space="0" w:color="auto"/>
      </w:divBdr>
    </w:div>
    <w:div w:id="1674331446">
      <w:marLeft w:val="0"/>
      <w:marRight w:val="0"/>
      <w:marTop w:val="0"/>
      <w:marBottom w:val="0"/>
      <w:divBdr>
        <w:top w:val="none" w:sz="0" w:space="0" w:color="auto"/>
        <w:left w:val="none" w:sz="0" w:space="0" w:color="auto"/>
        <w:bottom w:val="none" w:sz="0" w:space="0" w:color="auto"/>
        <w:right w:val="none" w:sz="0" w:space="0" w:color="auto"/>
      </w:divBdr>
    </w:div>
    <w:div w:id="1674331450">
      <w:marLeft w:val="0"/>
      <w:marRight w:val="0"/>
      <w:marTop w:val="0"/>
      <w:marBottom w:val="0"/>
      <w:divBdr>
        <w:top w:val="none" w:sz="0" w:space="0" w:color="auto"/>
        <w:left w:val="none" w:sz="0" w:space="0" w:color="auto"/>
        <w:bottom w:val="none" w:sz="0" w:space="0" w:color="auto"/>
        <w:right w:val="none" w:sz="0" w:space="0" w:color="auto"/>
      </w:divBdr>
      <w:divsChild>
        <w:div w:id="1674331452">
          <w:marLeft w:val="0"/>
          <w:marRight w:val="0"/>
          <w:marTop w:val="0"/>
          <w:marBottom w:val="0"/>
          <w:divBdr>
            <w:top w:val="none" w:sz="0" w:space="0" w:color="auto"/>
            <w:left w:val="none" w:sz="0" w:space="0" w:color="auto"/>
            <w:bottom w:val="none" w:sz="0" w:space="0" w:color="auto"/>
            <w:right w:val="none" w:sz="0" w:space="0" w:color="auto"/>
          </w:divBdr>
          <w:divsChild>
            <w:div w:id="1674331447">
              <w:marLeft w:val="0"/>
              <w:marRight w:val="0"/>
              <w:marTop w:val="100"/>
              <w:marBottom w:val="100"/>
              <w:divBdr>
                <w:top w:val="none" w:sz="0" w:space="0" w:color="auto"/>
                <w:left w:val="none" w:sz="0" w:space="0" w:color="auto"/>
                <w:bottom w:val="none" w:sz="0" w:space="0" w:color="auto"/>
                <w:right w:val="none" w:sz="0" w:space="0" w:color="auto"/>
              </w:divBdr>
              <w:divsChild>
                <w:div w:id="1674331448">
                  <w:marLeft w:val="0"/>
                  <w:marRight w:val="0"/>
                  <w:marTop w:val="45"/>
                  <w:marBottom w:val="120"/>
                  <w:divBdr>
                    <w:top w:val="none" w:sz="0" w:space="0" w:color="auto"/>
                    <w:left w:val="none" w:sz="0" w:space="0" w:color="auto"/>
                    <w:bottom w:val="none" w:sz="0" w:space="0" w:color="auto"/>
                    <w:right w:val="none" w:sz="0" w:space="0" w:color="auto"/>
                  </w:divBdr>
                  <w:divsChild>
                    <w:div w:id="1674331449">
                      <w:marLeft w:val="0"/>
                      <w:marRight w:val="0"/>
                      <w:marTop w:val="0"/>
                      <w:marBottom w:val="0"/>
                      <w:divBdr>
                        <w:top w:val="none" w:sz="0" w:space="0" w:color="auto"/>
                        <w:left w:val="none" w:sz="0" w:space="0" w:color="auto"/>
                        <w:bottom w:val="none" w:sz="0" w:space="0" w:color="auto"/>
                        <w:right w:val="none" w:sz="0" w:space="0" w:color="auto"/>
                      </w:divBdr>
                      <w:divsChild>
                        <w:div w:id="167433145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6law.idv.tw/6law/law3/%E8%A1%8C%E6%94%BF%E9%99%A2%E9%87%91%E8%9E%8D%E7%9B%A3%E7%9D%A3%E7%AE%A1%E7%90%86%E5%A7%94%E5%93%A1%E6%9C%83%E7%9B%A3%E7%90%86%E5%B9%B4%E8%B2%BB%E6%AA%A2%E6%9F%A5%E8%B2%BB%E8%A8%88%E7%B9%B3%E6%A8%99%E6%BA%96%E5%8F%8A%E8%A6%8F%E8%B2%BB%E6%94%B6%E5%8F%96%E8%BE%A6%E6%B3%95.htm" TargetMode="External"/><Relationship Id="rId4" Type="http://schemas.microsoft.com/office/2007/relationships/stylesWithEffects" Target="stylesWithEffects.xml"/><Relationship Id="rId9" Type="http://schemas.openxmlformats.org/officeDocument/2006/relationships/hyperlink" Target="http://www.6law.idv.tw/6law/law3/%E8%A1%8C%E6%94%BF%E9%99%A2%E9%87%91%E8%9E%8D%E7%9B%A3%E7%9D%A3%E7%AE%A1%E7%90%86%E5%A7%94%E5%93%A1%E6%9C%83%E7%9B%A3%E7%90%86%E5%B9%B4%E8%B2%BB%E6%AA%A2%E6%9F%A5%E8%B2%BB%E8%A8%88%E7%B9%B3%E6%A8%99%E6%BA%96%E5%8F%8A%E8%A6%8F%E8%B2%BB%E6%94%B6%E5%8F%96%E8%BE%A6%E6%B3%95.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3136A-B16E-4DB4-A35E-F69E3C7A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保險代理人公司保險經紀人公司內部控制稽核制度及招攬處理制度實施辦法部分條文修正草案對照表</dc:title>
  <dc:creator>user</dc:creator>
  <cp:lastModifiedBy>何淑月</cp:lastModifiedBy>
  <cp:revision>2</cp:revision>
  <cp:lastPrinted>2014-05-14T06:34:00Z</cp:lastPrinted>
  <dcterms:created xsi:type="dcterms:W3CDTF">2014-06-03T09:17:00Z</dcterms:created>
  <dcterms:modified xsi:type="dcterms:W3CDTF">2014-06-03T09:17:00Z</dcterms:modified>
</cp:coreProperties>
</file>